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2021-07-06 17:30:23</w:t>
      </w:r>
    </w:p>
    <w:bookmarkStart w:id="27" w:name="abstract"/>
    <w:p>
      <w:pPr>
        <w:pStyle w:val="Heading1"/>
      </w:pPr>
      <w:r>
        <w:t xml:space="preserve">Abstract</w:t>
      </w:r>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understand multi-decadal changes in chlorophyll-a concentrations in the San Francisco Estuary from roughly biweekly monitoring.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 formulations of the original time series. We then extract seasonal averages and their standard errors for an</w:t>
      </w:r>
      <w:r>
        <w:t xml:space="preserve"> </w:t>
      </w:r>
      <w:r>
        <w:rPr>
          <w:iCs/>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Cs/>
          <w:i/>
        </w:rPr>
        <w:t xml:space="preserve">wqtrends</w:t>
      </w:r>
      <w:r>
        <w:t xml:space="preserve"> </w:t>
      </w:r>
      <w:r>
        <w:t xml:space="preserve">R package.</w:t>
      </w:r>
    </w:p>
    <w:p>
      <w:pPr>
        <w:pStyle w:val="BodyText"/>
      </w:pPr>
      <w:r>
        <w:rPr>
          <w:iCs/>
          <w:i/>
        </w:rPr>
        <w:t xml:space="preserve">Key words</w:t>
      </w:r>
      <w:r>
        <w:t xml:space="preserve">: chlorophyll, Generalized Additive Models, meta-analysis, San Francisco Estuary, Trend analysis</w:t>
      </w:r>
    </w:p>
    <w:bookmarkEnd w:id="27"/>
    <w:bookmarkStart w:id="30" w:name="introduction"/>
    <w:p>
      <w:pPr>
        <w:pStyle w:val="Heading1"/>
      </w:pPr>
      <w:r>
        <w:t xml:space="preserve">Introduction</w:t>
      </w:r>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w:t>
      </w:r>
      <w:hyperlink w:anchor="ref-Cumming06">
        <w:r>
          <w:rPr>
            <w:rStyle w:val="Hyperlink"/>
          </w:rPr>
          <w:t xml:space="preserve">Cumming et al., 2006</w:t>
        </w:r>
      </w:hyperlink>
      <w:r>
        <w:t xml:space="preserve">;</w:t>
      </w:r>
      <w:r>
        <w:t xml:space="preserve"> </w:t>
      </w:r>
      <w:hyperlink w:anchor="ref-Forbes18">
        <w:r>
          <w:rPr>
            <w:rStyle w:val="Hyperlink"/>
          </w:rPr>
          <w:t xml:space="preserve">Forbes and Xie, 2018</w:t>
        </w:r>
      </w:hyperlink>
      <w:r>
        <w:t xml:space="preserve">;</w:t>
      </w:r>
      <w:r>
        <w:t xml:space="preserve"> </w:t>
      </w:r>
      <w:hyperlink w:anchor="ref-Urquhart98">
        <w:r>
          <w:rPr>
            <w:rStyle w:val="Hyperlink"/>
          </w:rPr>
          <w:t xml:space="preserve">Urquhart et al., 1998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multiple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w:t>
      </w:r>
      <w:r>
        <w:t xml:space="preserve"> </w:t>
      </w:r>
      <w:hyperlink w:anchor="ref-Wan17">
        <w:r>
          <w:rPr>
            <w:rStyle w:val="Hyperlink"/>
          </w:rPr>
          <w:t xml:space="preserve">Wan et al.</w:t>
        </w:r>
      </w:hyperlink>
      <w:r>
        <w:t xml:space="preserve"> </w:t>
      </w:r>
      <w:r>
        <w:t xml:space="preserve">(</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w:t>
      </w:r>
      <w:hyperlink w:anchor="ref-Cleveland90">
        <w:r>
          <w:rPr>
            <w:rStyle w:val="Hyperlink"/>
          </w:rPr>
          <w:t xml:space="preserve">Cleveland et al., 1990</w:t>
        </w:r>
      </w:hyperlink>
      <w:r>
        <w:t xml:space="preserve">;</w:t>
      </w:r>
      <w:r>
        <w:t xml:space="preserve"> </w:t>
      </w:r>
      <w:hyperlink w:anchor="ref-Cloern10">
        <w:r>
          <w:rPr>
            <w:rStyle w:val="Hyperlink"/>
          </w:rPr>
          <w:t xml:space="preserve">Cloern and Jassby, 2010</w:t>
        </w:r>
      </w:hyperlink>
      <w:r>
        <w:t xml:space="preserve">;</w:t>
      </w:r>
      <w:r>
        <w:t xml:space="preserve"> </w:t>
      </w:r>
      <w:hyperlink w:anchor="ref-Stow15">
        <w:r>
          <w:rPr>
            <w:rStyle w:val="Hyperlink"/>
          </w:rPr>
          <w:t xml:space="preserve">Stow et al., 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w:t>
      </w:r>
      <w:r>
        <w:t xml:space="preserve"> </w:t>
      </w:r>
      <w:hyperlink w:anchor="ref-Wan17">
        <w:r>
          <w:rPr>
            <w:rStyle w:val="Hyperlink"/>
          </w:rPr>
          <w:t xml:space="preserve">Wan et al., 2017</w:t>
        </w:r>
      </w:hyperlink>
      <w:r>
        <w:t xml:space="preserve">)</w:t>
      </w:r>
      <w:r>
        <w:t xml:space="preserve">, and it does not usually estimate standard errors to allow hypothesis testing</w:t>
      </w:r>
      <w:r>
        <w:t xml:space="preserve"> </w:t>
      </w:r>
      <w:r>
        <w:t xml:space="preserve">(but see</w:t>
      </w:r>
      <w:r>
        <w:t xml:space="preserve"> </w:t>
      </w:r>
      <w:hyperlink w:anchor="ref-Hafen10">
        <w:r>
          <w:rPr>
            <w:rStyle w:val="Hyperlink"/>
          </w:rPr>
          <w:t xml:space="preserve">Hafen, 2010</w:t>
        </w:r>
      </w:hyperlink>
      <w:r>
        <w:t xml:space="preserve">)</w:t>
      </w:r>
      <w:r>
        <w:t xml:space="preserve">. STL methods may also over-simplify trends into fixed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w:t>
      </w:r>
      <w:hyperlink w:anchor="ref-Cloern10">
        <w:r>
          <w:rPr>
            <w:rStyle w:val="Hyperlink"/>
          </w:rPr>
          <w:t xml:space="preserve">Cloern and Jassby, 2010</w:t>
        </w:r>
      </w:hyperlink>
      <w:r>
        <w:t xml:space="preserve">;</w:t>
      </w:r>
      <w:r>
        <w:t xml:space="preserve"> </w:t>
      </w:r>
      <w:hyperlink w:anchor="ref-Navarro12">
        <w:r>
          <w:rPr>
            <w:rStyle w:val="Hyperlink"/>
          </w:rPr>
          <w:t xml:space="preserve">Navarro et al., 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w:t>
      </w:r>
      <w:hyperlink w:anchor="ref-Beck18b">
        <w:r>
          <w:rPr>
            <w:rStyle w:val="Hyperlink"/>
          </w:rPr>
          <w:t xml:space="preserve">Beck et al., 2018</w:t>
        </w:r>
      </w:hyperlink>
      <w:r>
        <w:t xml:space="preserve">;</w:t>
      </w:r>
      <w:r>
        <w:t xml:space="preserve"> </w:t>
      </w:r>
      <w:hyperlink w:anchor="ref-Beck15">
        <w:r>
          <w:rPr>
            <w:rStyle w:val="Hyperlink"/>
          </w:rPr>
          <w:t xml:space="preserve">Beck and Hagy, 2015</w:t>
        </w:r>
      </w:hyperlink>
      <w:r>
        <w:t xml:space="preserve">;</w:t>
      </w:r>
      <w:r>
        <w:t xml:space="preserve"> </w:t>
      </w:r>
      <w:hyperlink w:anchor="ref-Hirsch10">
        <w:r>
          <w:rPr>
            <w:rStyle w:val="Hyperlink"/>
          </w:rPr>
          <w:t xml:space="preserve">Hirsch et al., 2010</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w:t>
      </w:r>
      <w:hyperlink w:anchor="ref-Hirsch15">
        <w:r>
          <w:rPr>
            <w:rStyle w:val="Hyperlink"/>
          </w:rPr>
          <w:t xml:space="preserve">Hirsch et al., 2015</w:t>
        </w:r>
      </w:hyperlink>
      <w:r>
        <w:t xml:space="preserve">)</w:t>
      </w:r>
      <w:r>
        <w:t xml:space="preserve">. Although a useful addition to the original method</w:t>
      </w:r>
      <w:r>
        <w:t xml:space="preserve"> </w:t>
      </w:r>
      <w:r>
        <w:t xml:space="preserve">(</w:t>
      </w:r>
      <w:hyperlink w:anchor="ref-Hirsch10">
        <w:r>
          <w:rPr>
            <w:rStyle w:val="Hyperlink"/>
          </w:rPr>
          <w:t xml:space="preserve">Hirsch et al., 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w:t>
      </w:r>
      <w:hyperlink w:anchor="ref-Haraguchi15">
        <w:r>
          <w:rPr>
            <w:rStyle w:val="Hyperlink"/>
          </w:rPr>
          <w:t xml:space="preserve">Haraguchi et al., 2015</w:t>
        </w:r>
      </w:hyperlink>
      <w:r>
        <w:t xml:space="preserve">;</w:t>
      </w:r>
      <w:r>
        <w:t xml:space="preserve"> </w:t>
      </w:r>
      <w:hyperlink w:anchor="ref-He06">
        <w:r>
          <w:rPr>
            <w:rStyle w:val="Hyperlink"/>
          </w:rPr>
          <w:t xml:space="preserve">He et al., 2006</w:t>
        </w:r>
      </w:hyperlink>
      <w:r>
        <w:t xml:space="preserve">;</w:t>
      </w:r>
      <w:r>
        <w:t xml:space="preserve"> </w:t>
      </w:r>
      <w:hyperlink w:anchor="ref-Morton08">
        <w:r>
          <w:rPr>
            <w:rStyle w:val="Hyperlink"/>
          </w:rPr>
          <w:t xml:space="preserve">Morton and Henderson, 2008</w:t>
        </w:r>
      </w:hyperlink>
      <w:r>
        <w:t xml:space="preserve">;</w:t>
      </w:r>
      <w:r>
        <w:t xml:space="preserve"> </w:t>
      </w:r>
      <w:hyperlink w:anchor="ref-Murphy19">
        <w:r>
          <w:rPr>
            <w:rStyle w:val="Hyperlink"/>
          </w:rPr>
          <w:t xml:space="preserve">Murphy et al., 2019</w:t>
        </w:r>
      </w:hyperlink>
      <w:r>
        <w:t xml:space="preserve">;</w:t>
      </w:r>
      <w:r>
        <w:t xml:space="preserve"> </w:t>
      </w:r>
      <w:hyperlink w:anchor="ref-Pearce11">
        <w:r>
          <w:rPr>
            <w:rStyle w:val="Hyperlink"/>
          </w:rPr>
          <w:t xml:space="preserve">Pearce et al., 2011</w:t>
        </w:r>
      </w:hyperlink>
      <w:r>
        <w:t xml:space="preserve">)</w:t>
      </w:r>
      <w:r>
        <w:t xml:space="preserve">. The basis functions 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w:t>
      </w:r>
      <w:hyperlink w:anchor="ref-Beck17">
        <w:r>
          <w:rPr>
            <w:rStyle w:val="Hyperlink"/>
          </w:rPr>
          <w:t xml:space="preserve">Beck and Murphy, 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t>
      </w:r>
      <w:hyperlink w:anchor="ref-Wood17">
        <w:r>
          <w:rPr>
            <w:rStyle w:val="Hyperlink"/>
          </w:rPr>
          <w:t xml:space="preserve">Wood, 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w:t>
      </w:r>
      <w:hyperlink w:anchor="ref-Haraguchi15">
        <w:r>
          <w:rPr>
            <w:rStyle w:val="Hyperlink"/>
          </w:rPr>
          <w:t xml:space="preserve">Haraguchi et al., 2015</w:t>
        </w:r>
      </w:hyperlink>
      <w:r>
        <w:t xml:space="preserve">;</w:t>
      </w:r>
      <w:r>
        <w:t xml:space="preserve"> </w:t>
      </w:r>
      <w:hyperlink w:anchor="ref-Murphy19">
        <w:r>
          <w:rPr>
            <w:rStyle w:val="Hyperlink"/>
          </w:rPr>
          <w:t xml:space="preserve">Murphy et al., 2019</w:t>
        </w:r>
      </w:hyperlink>
      <w:r>
        <w:t xml:space="preserve">)</w:t>
      </w:r>
      <w:r>
        <w:t xml:space="preserve">. For example,</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w:t>
      </w:r>
      <w:hyperlink w:anchor="ref-Murphy19">
        <w:r>
          <w:rPr>
            <w:rStyle w:val="Hyperlink"/>
          </w:rPr>
          <w:t xml:space="preserve">Murphy et al., 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w:t>
      </w:r>
      <w:hyperlink w:anchor="ref-Yang20">
        <w:r>
          <w:rPr>
            <w:rStyle w:val="Hyperlink"/>
          </w:rPr>
          <w:t xml:space="preserve">Yang and Moyer, 2020</w:t>
        </w:r>
      </w:hyperlink>
      <w:r>
        <w:t xml:space="preserve">)</w:t>
      </w:r>
      <w:r>
        <w:t xml:space="preserve">, serial correlation in high resolution data</w:t>
      </w:r>
      <w:r>
        <w:t xml:space="preserve"> </w:t>
      </w:r>
      <w:r>
        <w:t xml:space="preserve">(</w:t>
      </w:r>
      <w:hyperlink w:anchor="ref-Morton08">
        <w:r>
          <w:rPr>
            <w:rStyle w:val="Hyperlink"/>
          </w:rPr>
          <w:t xml:space="preserve">Morton and Henderson, 2008</w:t>
        </w:r>
      </w:hyperlink>
      <w:r>
        <w:t xml:space="preserve">;</w:t>
      </w:r>
      <w:r>
        <w:t xml:space="preserve"> </w:t>
      </w:r>
      <w:hyperlink w:anchor="ref-Yang20">
        <w:r>
          <w:rPr>
            <w:rStyle w:val="Hyperlink"/>
          </w:rPr>
          <w:t xml:space="preserve">Yang and Moyer, 2020</w:t>
        </w:r>
      </w:hyperlink>
      <w:r>
        <w:t xml:space="preserve">)</w:t>
      </w:r>
      <w:r>
        <w:t xml:space="preserve">, and quantifying time lags in relationships between response and predictor variables</w:t>
      </w:r>
      <w:r>
        <w:t xml:space="preserve"> </w:t>
      </w:r>
      <w:r>
        <w:t xml:space="preserve">(</w:t>
      </w:r>
      <w:hyperlink w:anchor="ref-Lefcheck17">
        <w:r>
          <w:rPr>
            <w:rStyle w:val="Hyperlink"/>
          </w:rPr>
          <w:t xml:space="preserve">Lefcheck et al., 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t>
      </w:r>
      <w:hyperlink w:anchor="ref-Wood17">
        <w:r>
          <w:rPr>
            <w:rStyle w:val="Hyperlink"/>
          </w:rPr>
          <w:t xml:space="preserve">Wood, 2017</w:t>
        </w:r>
      </w:hyperlink>
      <w:r>
        <w:t xml:space="preserve">,</w:t>
      </w:r>
      <w:r>
        <w:t xml:space="preserve"> </w:t>
      </w:r>
      <w:hyperlink w:anchor="ref-Wood03">
        <w:r>
          <w:rPr>
            <w:rStyle w:val="Hyperlink"/>
          </w:rPr>
          <w:t xml:space="preserve">2003</w:t>
        </w:r>
      </w:hyperlink>
      <w:r>
        <w:t xml:space="preserve">)</w:t>
      </w:r>
      <w:r>
        <w:t xml:space="preserve"> </w:t>
      </w:r>
      <w:r>
        <w:t xml:space="preserve">rather than being constrained</w:t>
      </w:r>
      <w:r>
        <w:t xml:space="preserve"> </w:t>
      </w:r>
      <w:r>
        <w:rPr>
          <w:iCs/>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from GAMs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Meta-analysis regression incorporates a known (or estimated) standard error for each response datum. Usually meta-analysis is used when each response summarizes a dataset from a separate study, along with its standard error, and the meta-analysis looks for across-study patterns in effect size</w:t>
      </w:r>
      <w:r>
        <w:t xml:space="preserve"> </w:t>
      </w:r>
      <w:r>
        <w:t xml:space="preserve">(i.e.,</w:t>
      </w:r>
      <w:r>
        <w:t xml:space="preserve"> </w:t>
      </w:r>
      <w:hyperlink w:anchor="ref-Lortie14">
        <w:r>
          <w:rPr>
            <w:rStyle w:val="Hyperlink"/>
          </w:rPr>
          <w:t xml:space="preserve">Lortie, 2014</w:t>
        </w:r>
      </w:hyperlink>
      <w:r>
        <w:t xml:space="preserve">)</w:t>
      </w:r>
      <w:r>
        <w:t xml:space="preserve">. Here each response summarizes one year or season of data, with standard error from the GAM, and the meta-analysis looks for patterns across years. Thus, while meta-analysis methods are most commonly associated with combining results from multiple studies into a larger analysis, their key modeling step is propagation of uncertainty</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To do this, meta-analysis makes use of a known (estimated) standard error for each response datum, which is exactly the same step required here to propagate standard errors from the GAM into a regression of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patterns and use meta-analysis to evaluate trends between years. This approach is new to environmental trend-detection problems and is provided in the</w:t>
      </w:r>
      <w:r>
        <w:t xml:space="preserve"> </w:t>
      </w:r>
      <w:r>
        <w:rPr>
          <w:iCs/>
          <w:i/>
        </w:rPr>
        <w:t xml:space="preserve">wqtrends</w:t>
      </w:r>
      <w:r>
        <w:t xml:space="preserve"> </w:t>
      </w:r>
      <w:r>
        <w:t xml:space="preserve">R package developed by the authors</w:t>
      </w:r>
      <w:r>
        <w:t xml:space="preserve"> </w:t>
      </w:r>
      <w:r>
        <w:t xml:space="preserve">(</w:t>
      </w:r>
      <w:hyperlink w:anchor="ref-Beck21">
        <w:r>
          <w:rPr>
            <w:rStyle w:val="Hyperlink"/>
          </w:rPr>
          <w:t xml:space="preserve">Beck et al., 2021</w:t>
        </w:r>
      </w:hyperlink>
      <w:r>
        <w:t xml:space="preserve">, available at</w:t>
      </w:r>
      <w:r>
        <w:t xml:space="preserve"> </w:t>
      </w:r>
      <w:hyperlink r:id="rId28">
        <w:r>
          <w:rPr>
            <w:rStyle w:val="Hyperlink"/>
          </w:rPr>
          <w:t xml:space="preserve">https://tbep-tech.github.io/wqtrends</w:t>
        </w:r>
      </w:hyperlink>
      <w:r>
        <w:t xml:space="preserve">, including an online dashboard for viewing results at</w:t>
      </w:r>
      <w:r>
        <w:t xml:space="preserve"> </w:t>
      </w:r>
      <w:hyperlink r:id="rId29">
        <w:r>
          <w:rPr>
            <w:rStyle w:val="Hyperlink"/>
          </w:rPr>
          <w:t xml:space="preserve">https://nutrient-data.sfei.org/apps/SFbaytrends/</w:t>
        </w:r>
      </w:hyperlink>
      <w:r>
        <w:t xml:space="preserve">)</w:t>
      </w:r>
      <w:r>
        <w:t xml:space="preserve">.</w:t>
      </w:r>
    </w:p>
    <w:bookmarkEnd w:id="30"/>
    <w:bookmarkStart w:id="37" w:name="methods"/>
    <w:p>
      <w:pPr>
        <w:pStyle w:val="Heading1"/>
      </w:pPr>
      <w:r>
        <w:t xml:space="preserve">Methods</w:t>
      </w:r>
    </w:p>
    <w:bookmarkStart w:id="31" w:name="study-area-and-data-sources"/>
    <w:p>
      <w:pPr>
        <w:pStyle w:val="Heading2"/>
      </w:pPr>
      <w:r>
        <w:t xml:space="preserve">Study area and data sources</w:t>
      </w:r>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w:t>
      </w:r>
      <w:hyperlink w:anchor="ref-Cloern12">
        <w:r>
          <w:rPr>
            <w:rStyle w:val="Hyperlink"/>
          </w:rPr>
          <w:t xml:space="preserve">Cloern and Jassby, 2012</w:t>
        </w:r>
      </w:hyperlink>
      <w:r>
        <w:t xml:space="preserve">)</w:t>
      </w:r>
      <w:r>
        <w:t xml:space="preserve">. An estimated 73.8 metric tons dy</w:t>
      </w:r>
      <m:oMath>
        <m:sSup>
          <m:e>
            <m:r>
              <m:t>​</m:t>
            </m:r>
          </m:e>
          <m:sup>
            <m:r>
              <m:rPr>
                <m:sty m:val="p"/>
              </m:rPr>
              <m:t>−</m:t>
            </m:r>
            <m:r>
              <m:t>1</m:t>
            </m:r>
          </m:sup>
        </m:sSup>
      </m:oMath>
      <w:r>
        <w:t xml:space="preserve"> </w:t>
      </w:r>
      <w:r>
        <w:t xml:space="preserve">of inorganic nitrogen are discharged into the Bay, primarily from wastewater</w:t>
      </w:r>
      <w:r>
        <w:t xml:space="preserve"> </w:t>
      </w:r>
      <w:r>
        <w:t xml:space="preserve">(</w:t>
      </w:r>
      <w:hyperlink w:anchor="ref-Novick14">
        <w:r>
          <w:rPr>
            <w:rStyle w:val="Hyperlink"/>
          </w:rPr>
          <w:t xml:space="preserve">Novick and Senn, 2014</w:t>
        </w:r>
      </w:hyperlink>
      <w:r>
        <w:t xml:space="preserve">)</w:t>
      </w:r>
      <w:r>
        <w:t xml:space="preserve">. Agricultural runoff from the upper watershed contributes 30 metric tons dy</w:t>
      </w:r>
      <m:oMath>
        <m:sSup>
          <m:e>
            <m:r>
              <m:t>​</m:t>
            </m:r>
          </m:e>
          <m:sup>
            <m:r>
              <m:rPr>
                <m:sty m:val="p"/>
              </m:rP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w:t>
      </w:r>
      <w:hyperlink w:anchor="ref-Alpine88">
        <w:r>
          <w:rPr>
            <w:rStyle w:val="Hyperlink"/>
          </w:rPr>
          <w:t xml:space="preserve">Alpine and Cloern, 1988</w:t>
        </w:r>
      </w:hyperlink>
      <w:r>
        <w:t xml:space="preserve">;</w:t>
      </w:r>
      <w:r>
        <w:t xml:space="preserve"> </w:t>
      </w:r>
      <w:hyperlink w:anchor="ref-Cole84">
        <w:r>
          <w:rPr>
            <w:rStyle w:val="Hyperlink"/>
          </w:rPr>
          <w:t xml:space="preserve">Cole and Cloern, 1984</w:t>
        </w:r>
      </w:hyperlink>
      <w:r>
        <w:t xml:space="preserve">;</w:t>
      </w:r>
      <w:r>
        <w:t xml:space="preserve"> </w:t>
      </w:r>
      <w:hyperlink w:anchor="ref-Jassby08">
        <w:r>
          <w:rPr>
            <w:rStyle w:val="Hyperlink"/>
          </w:rPr>
          <w:t xml:space="preserve">Jassby, 2008</w:t>
        </w:r>
      </w:hyperlink>
      <w:r>
        <w:t xml:space="preserve">;</w:t>
      </w:r>
      <w:r>
        <w:t xml:space="preserve"> </w:t>
      </w:r>
      <w:hyperlink w:anchor="ref-Kimmerer14">
        <w:r>
          <w:rPr>
            <w:rStyle w:val="Hyperlink"/>
          </w:rPr>
          <w:t xml:space="preserve">Kimmerer and Thompson, 2014</w:t>
        </w:r>
      </w:hyperlink>
      <w:r>
        <w:t xml:space="preserve">;</w:t>
      </w:r>
      <w:r>
        <w:t xml:space="preserve"> </w:t>
      </w:r>
      <w:hyperlink w:anchor="ref-Lehman17">
        <w:r>
          <w:rPr>
            <w:rStyle w:val="Hyperlink"/>
          </w:rPr>
          <w:t xml:space="preserve">Lehman et al., 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w:t>
      </w:r>
      <w:hyperlink w:anchor="ref-Cloern20">
        <w:r>
          <w:rPr>
            <w:rStyle w:val="Hyperlink"/>
          </w:rPr>
          <w:t xml:space="preserve">Cloern et al., 2020</w:t>
        </w:r>
      </w:hyperlink>
      <w:r>
        <w:t xml:space="preserve">)</w:t>
      </w:r>
      <w:r>
        <w:t xml:space="preserve">. Although changes in the data are visually apparent, statistical analyses to quantify these changes have been insufficient with respect to seasonal differences between years.</w:t>
      </w:r>
    </w:p>
    <w:p>
      <w:pPr>
        <w:pStyle w:val="BodyText"/>
      </w:pPr>
      <w:r>
        <w:t xml:space="preserve">We used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Sampling frequency varied somewhat over time and by station. Approximate monthly or biweekly sampling with coverage of at least a decade is common for many long-term monitoring programs and is the motivating use case for the methods herein.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bookmarkEnd w:id="31"/>
    <w:bookmarkStart w:id="36" w:name="gams-with-uncertainty-propagation"/>
    <w:p>
      <w:pPr>
        <w:pStyle w:val="Heading2"/>
      </w:pPr>
      <w:r>
        <w:t xml:space="preserve">GAMs with uncertainty propagation</w:t>
      </w:r>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w:t>
      </w:r>
    </w:p>
    <w:bookmarkStart w:id="32" w:name="first-stage-analysis-gam-estimation"/>
    <w:p>
      <w:pPr>
        <w:pStyle w:val="Heading3"/>
      </w:pPr>
      <w:r>
        <w:t xml:space="preserve">First-stage analysis: GAM estimation</w:t>
      </w:r>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All models were created using the</w:t>
      </w:r>
      <w:r>
        <w:t xml:space="preserve"> </w:t>
      </w:r>
      <w:r>
        <w:rPr>
          <w:rStyle w:val="VerbatimChar"/>
        </w:rPr>
        <w:t xml:space="preserve">mgcv</w:t>
      </w:r>
      <w:r>
        <w:t xml:space="preserve"> </w:t>
      </w:r>
      <w:r>
        <w:t xml:space="preserve">R package</w:t>
      </w:r>
      <w:r>
        <w:t xml:space="preserve"> </w:t>
      </w:r>
      <w:r>
        <w:t xml:space="preserve">(</w:t>
      </w:r>
      <w:hyperlink w:anchor="ref-RCT20">
        <w:r>
          <w:rPr>
            <w:rStyle w:val="Hyperlink"/>
          </w:rPr>
          <w:t xml:space="preserve">R Core Team, 2020</w:t>
        </w:r>
      </w:hyperlink>
      <w:r>
        <w:t xml:space="preserve">;</w:t>
      </w:r>
      <w:r>
        <w:t xml:space="preserve"> </w:t>
      </w:r>
      <w:hyperlink w:anchor="ref-Wood17">
        <w:r>
          <w:rPr>
            <w:rStyle w:val="Hyperlink"/>
          </w:rPr>
          <w:t xml:space="preserve">Wood, 2017</w:t>
        </w:r>
      </w:hyperlink>
      <w:r>
        <w:t xml:space="preserve">)</w:t>
      </w:r>
      <w:r>
        <w:t xml:space="preserve">, with utility functions included in the</w:t>
      </w:r>
      <w:r>
        <w:t xml:space="preserve"> </w:t>
      </w:r>
      <w:r>
        <w:rPr>
          <w:rStyle w:val="VerbatimChar"/>
        </w:rPr>
        <w:t xml:space="preserve">wqtrends</w:t>
      </w:r>
      <w:r>
        <w:t xml:space="preserve"> </w:t>
      </w:r>
      <w:r>
        <w:t xml:space="preserve">package created by the authors</w:t>
      </w:r>
      <w:r>
        <w:t xml:space="preserve"> </w:t>
      </w:r>
      <w:r>
        <w:t xml:space="preserve">(</w:t>
      </w:r>
      <w:hyperlink w:anchor="ref-Beck21">
        <w:r>
          <w:rPr>
            <w:rStyle w:val="Hyperlink"/>
          </w:rPr>
          <w:t xml:space="preserve">Beck et al., 2021</w:t>
        </w:r>
      </w:hyperlink>
      <w:r>
        <w:t xml:space="preserve">)</w:t>
      </w:r>
      <w:r>
        <w:t xml:space="preserve">.</w:t>
      </w:r>
    </w:p>
    <w:p>
      <w:pPr>
        <w:pStyle w:val="BodyText"/>
      </w:pPr>
      <w:r>
        <w:t xml:space="preserve">The simplest GAM for this purpose is expressed as:</w:t>
      </w:r>
    </w:p>
    <w:p>
      <w:pPr>
        <w:pStyle w:val="BodyText"/>
      </w:pPr>
      <m:oMathPara>
        <m:oMathParaPr>
          <m:jc m:val="center"/>
        </m:oMathParaPr>
        <m:oMath>
          <m:r>
            <m:rPr>
              <m:nor/>
              <m:sty m:val="p"/>
            </m:rPr>
            <m:t>Model S:</m:t>
          </m:r>
          <m:sSub>
            <m:e>
              <m:r>
                <m:t>y</m:t>
              </m:r>
            </m:e>
            <m:sub>
              <m:r>
                <m:t>i</m:t>
              </m:r>
            </m:sub>
          </m:sSub>
          <m:r>
            <m:rPr>
              <m:sty m:val="p"/>
            </m:rPr>
            <m:t>∼</m:t>
          </m:r>
          <m:r>
            <m:t> </m:t>
          </m:r>
          <m:sSub>
            <m:e>
              <m:r>
                <m:t>β</m:t>
              </m:r>
            </m:e>
            <m:sub>
              <m:r>
                <m:t>0</m:t>
              </m:r>
            </m:sub>
          </m:sSub>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ϵ</m:t>
              </m:r>
            </m:e>
            <m:sub>
              <m:r>
                <m:t>i</m:t>
              </m:r>
            </m:sub>
          </m:sSub>
          <m:r>
            <m:t>  </m:t>
          </m:r>
          <m:r>
            <m:rPr>
              <m:sty m:val="p"/>
            </m:rPr>
            <m:t>(</m:t>
          </m:r>
          <m:r>
            <m:t>1</m:t>
          </m:r>
          <m:r>
            <m:rPr>
              <m:sty m:val="p"/>
            </m:rPr>
            <m:t>)</m:t>
          </m:r>
        </m:oMath>
      </m:oMathPara>
    </w:p>
    <w:p>
      <w:pPr>
        <w:pStyle w:val="FirstParagraph"/>
      </w:pPr>
      <w:r>
        <w:t xml:space="preserve">where</w:t>
      </w:r>
      <w:r>
        <w:t xml:space="preserve"> </w:t>
      </w:r>
      <m:oMath>
        <m:r>
          <m:t>y</m:t>
        </m:r>
      </m:oMath>
      <w:r>
        <w:t xml:space="preserve"> </w:t>
      </w:r>
      <w:r>
        <w:t xml:space="preserve">is measured chl-a,</w:t>
      </w:r>
      <w:r>
        <w:t xml:space="preserve"> </w:t>
      </w:r>
      <m:oMath>
        <m:sSub>
          <m:e>
            <m:r>
              <m:t>β</m:t>
            </m:r>
          </m:e>
          <m:sub>
            <m:r>
              <m:t>0</m:t>
            </m:r>
          </m:sub>
        </m:sSub>
      </m:oMath>
      <w:r>
        <w:t xml:space="preserve"> </w:t>
      </w:r>
      <w:r>
        <w:t xml:space="preserve">is an intercept, and</w:t>
      </w:r>
      <w:r>
        <w:t xml:space="preserve"> </w:t>
      </w:r>
      <m:oMath>
        <m:r>
          <m:t>c</m:t>
        </m:r>
        <m:r>
          <m:t>o</m:t>
        </m:r>
        <m:r>
          <m:t>n</m:t>
        </m:r>
        <m:r>
          <m:t>t</m:t>
        </m:r>
        <m:r>
          <m:rPr>
            <m:sty m:val="p"/>
          </m:rPr>
          <m:t>_</m:t>
        </m:r>
        <m:r>
          <m:t>y</m:t>
        </m:r>
        <m:r>
          <m:t>e</m:t>
        </m:r>
        <m:r>
          <m:t>a</m:t>
        </m:r>
        <m:r>
          <m:t>r</m:t>
        </m:r>
      </m:oMath>
      <w:r>
        <w:t xml:space="preserve"> </w:t>
      </w:r>
      <w:r>
        <w:t xml:space="preserve">is</w:t>
      </w:r>
      <w:r>
        <w:t xml:space="preserve"> </w:t>
      </w:r>
      <w:r>
        <w:t xml:space="preserve">“</w:t>
      </w:r>
      <w:r>
        <w:t xml:space="preserve">continuous year,</w:t>
      </w:r>
      <w:r>
        <w:t xml:space="preserve">”</w:t>
      </w:r>
      <w:r>
        <w:t xml:space="preserve"> </w:t>
      </w:r>
      <w:r>
        <w:t xml:space="preserve">a continuous numerical date (e.g., July 1st 2019 would be 2019.5). The</w:t>
      </w:r>
      <w:r>
        <w:t xml:space="preserve"> </w:t>
      </w:r>
      <m:oMath>
        <m:sSub>
          <m:e>
            <m:r>
              <m:t>f</m:t>
            </m:r>
          </m:e>
          <m:sub>
            <m:r>
              <m:t>1</m:t>
            </m:r>
          </m:sub>
        </m:sSub>
        <m:r>
          <m:rPr>
            <m:sty m:val="p"/>
          </m:rPr>
          <m:t>(</m:t>
        </m:r>
        <m:r>
          <m:rPr>
            <m:sty m:val="p"/>
          </m:rPr>
          <m:t>)</m:t>
        </m:r>
      </m:oMath>
      <w:r>
        <w:t xml:space="preserve"> </w:t>
      </w:r>
      <w:r>
        <w:t xml:space="preserve">function is a smoothing spline composed of the sum of multiple</w:t>
      </w:r>
      <w:r>
        <w:t xml:space="preserve"> </w:t>
      </w:r>
      <w:r>
        <w:t xml:space="preserve">“</w:t>
      </w:r>
      <w:r>
        <w:t xml:space="preserve">basis functions</w:t>
      </w:r>
      <w:r>
        <w:t xml:space="preserve">”</w:t>
      </w:r>
      <w:r>
        <w:t xml:space="preserve"> </w:t>
      </w:r>
      <w:r>
        <w:t xml:space="preserve">multiplied by coefficients.</w:t>
      </w:r>
      <w:r>
        <w:t xml:space="preserve"> </w:t>
      </w:r>
      <m:oMath>
        <m:sSub>
          <m:e>
            <m:r>
              <m:t>f</m:t>
            </m:r>
          </m:e>
          <m:sub>
            <m:r>
              <m:t>1</m:t>
            </m:r>
          </m:sub>
        </m:sSub>
        <m:d>
          <m:dPr>
            <m:begChr m:val="("/>
            <m:endChr m:val=")"/>
            <m:grow/>
          </m:dPr>
          <m:e>
            <m:r>
              <m:t>c</m:t>
            </m:r>
            <m:r>
              <m:t>o</m:t>
            </m:r>
            <m:r>
              <m:t>n</m:t>
            </m:r>
            <m:r>
              <m:t>t</m:t>
            </m:r>
            <m:r>
              <m:rPr>
                <m:sty m:val="p"/>
              </m:rPr>
              <m:t>_</m:t>
            </m:r>
            <m:r>
              <m:t>y</m:t>
            </m:r>
            <m:r>
              <m:t>e</m:t>
            </m:r>
            <m:r>
              <m:t>a</m:t>
            </m:r>
            <m:r>
              <m:t>r</m:t>
            </m:r>
          </m:e>
        </m:d>
      </m:oMath>
      <w:r>
        <w:t xml:space="preserve"> </w:t>
      </w:r>
      <w:r>
        <w:t xml:space="preserve">describes the relationship of</w:t>
      </w:r>
      <w:r>
        <w:t xml:space="preserve"> </w:t>
      </w:r>
      <m:oMath>
        <m:r>
          <m:t>c</m:t>
        </m:r>
        <m:r>
          <m:t>o</m:t>
        </m:r>
        <m:r>
          <m:t>n</m:t>
        </m:r>
        <m:r>
          <m:t>t</m:t>
        </m:r>
        <m:r>
          <m:rPr>
            <m:sty m:val="p"/>
          </m:rPr>
          <m:t>_</m:t>
        </m:r>
        <m:r>
          <m:t>y</m:t>
        </m:r>
        <m:r>
          <m:t>e</m:t>
        </m:r>
        <m:r>
          <m:t>a</m:t>
        </m:r>
        <m:r>
          <m:t>r</m:t>
        </m:r>
      </m:oMath>
      <w:r>
        <w:t xml:space="preserve"> </w:t>
      </w:r>
      <w:r>
        <w:t xml:space="preserve">with</w:t>
      </w:r>
      <w:r>
        <w:t xml:space="preserve"> </w:t>
      </w:r>
      <m:oMath>
        <m:r>
          <m:t>y</m:t>
        </m:r>
      </m:oMath>
      <w:r>
        <w:t xml:space="preserve"> </w:t>
      </w:r>
      <w:r>
        <w:t xml:space="preserve">in a way that smoothly follows the data</w:t>
      </w:r>
      <w:r>
        <w:t xml:space="preserve"> </w:t>
      </w:r>
      <w:r>
        <w:t xml:space="preserve">(</w:t>
      </w:r>
      <w:hyperlink w:anchor="ref-Wood17">
        <w:r>
          <w:rPr>
            <w:rStyle w:val="Hyperlink"/>
          </w:rPr>
          <w:t xml:space="preserve">Wood, 2017</w:t>
        </w:r>
      </w:hyperlink>
      <w:r>
        <w:t xml:space="preserve">)</w:t>
      </w:r>
      <w:r>
        <w:t xml:space="preserve">. The basis functions involve user-specified knots, a grid of values on the</w:t>
      </w:r>
      <w:r>
        <w:t xml:space="preserve"> </w:t>
      </w:r>
      <m:oMath>
        <m:r>
          <m:t>c</m:t>
        </m:r>
        <m:r>
          <m:t>o</m:t>
        </m:r>
        <m:r>
          <m:t>n</m:t>
        </m:r>
        <m:r>
          <m:t>t</m:t>
        </m:r>
        <m:r>
          <m:rPr>
            <m:sty m:val="p"/>
          </m:rPr>
          <m:t>_</m:t>
        </m:r>
        <m:r>
          <m:t>y</m:t>
        </m:r>
        <m:r>
          <m:t>e</m:t>
        </m:r>
        <m:r>
          <m:t>a</m:t>
        </m:r>
        <m:r>
          <m:t>r</m:t>
        </m:r>
      </m:oMath>
      <w:r>
        <w:t xml:space="preserve"> </w:t>
      </w:r>
      <w:r>
        <w:t xml:space="preserve">axis that is discussed more below. The</w:t>
      </w:r>
      <w:r>
        <w:t xml:space="preserve"> </w:t>
      </w:r>
      <m:oMath>
        <m:r>
          <m:t>ϵ</m:t>
        </m:r>
      </m:oMath>
      <w:r>
        <w:t xml:space="preserve"> </w:t>
      </w:r>
      <w:r>
        <w:t xml:space="preserve">term is for residuals following a normal distribution with mean zero and constant variance.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t>
      </w:r>
      <w:hyperlink w:anchor="ref-Wood04">
        <w:r>
          <w:rPr>
            <w:rStyle w:val="Hyperlink"/>
          </w:rPr>
          <w:t xml:space="preserve">Wood, 2004</w:t>
        </w:r>
      </w:hyperlink>
      <w:r>
        <w:t xml:space="preserve">)</w:t>
      </w:r>
      <w:r>
        <w:t xml:space="preserve">. To allow GCV (or other alternatives) to work as intended, the number of knots, which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 for</w:t>
      </w:r>
      <w:r>
        <w:t xml:space="preserve"> </w:t>
      </w:r>
      <m:oMath>
        <m:sSub>
          <m:e>
            <m:r>
              <m:t>f</m:t>
            </m:r>
          </m:e>
          <m:sub>
            <m:r>
              <m:t>1</m:t>
            </m:r>
          </m:sub>
        </m:sSub>
        <m:r>
          <m:rPr>
            <m:sty m:val="p"/>
          </m:rPr>
          <m:t>(</m:t>
        </m:r>
        <m:r>
          <m:rPr>
            <m:sty m:val="p"/>
          </m:rPr>
          <m:t>)</m:t>
        </m:r>
      </m:oMath>
      <w:r>
        <w:t xml:space="preserve"> </w:t>
      </w:r>
      <w:r>
        <w:t xml:space="preserve">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m:oMath>
        <m:r>
          <m:t>c</m:t>
        </m:r>
        <m:r>
          <m:t>o</m:t>
        </m:r>
        <m:r>
          <m:t>n</m:t>
        </m:r>
        <m:r>
          <m:t>t</m:t>
        </m:r>
        <m:r>
          <m:rPr>
            <m:sty m:val="p"/>
          </m:rPr>
          <m:t>_</m:t>
        </m:r>
        <m:r>
          <m:t>y</m:t>
        </m:r>
        <m:r>
          <m:t>e</m:t>
        </m:r>
        <m:r>
          <m:t>a</m:t>
        </m:r>
        <m:r>
          <m:t>r</m:t>
        </m:r>
      </m:oMath>
      <w:r>
        <w:t xml:space="preserve">:</w:t>
      </w:r>
    </w:p>
    <w:p>
      <w:pPr>
        <w:pStyle w:val="BodyText"/>
      </w:pPr>
      <m:oMathPara>
        <m:oMathParaPr>
          <m:jc m:val="center"/>
        </m:oMathParaPr>
        <m:oMath>
          <m:r>
            <m:rPr>
              <m:nor/>
              <m:sty m:val="p"/>
            </m:rPr>
            <m:t>Model SY:</m:t>
          </m:r>
          <m:sSub>
            <m:e>
              <m:r>
                <m:t>y</m:t>
              </m:r>
            </m:e>
            <m:sub>
              <m:r>
                <m:t>i</m:t>
              </m:r>
            </m:sub>
          </m:sSub>
          <m:r>
            <m:rPr>
              <m:sty m:val="p"/>
            </m:rPr>
            <m:t>∼</m:t>
          </m:r>
          <m:r>
            <m:t> </m:t>
          </m:r>
          <m:sSub>
            <m:e>
              <m:r>
                <m:t>β</m:t>
              </m:r>
            </m:e>
            <m:sub>
              <m:r>
                <m:t>0</m:t>
              </m:r>
            </m:sub>
          </m:sSub>
          <m:r>
            <m:rPr>
              <m:sty m:val="p"/>
            </m:rPr>
            <m:t>+</m:t>
          </m:r>
          <m:sSub>
            <m:e>
              <m:r>
                <m:t>β</m:t>
              </m:r>
            </m:e>
            <m:sub>
              <m:r>
                <m:t>1</m:t>
              </m:r>
            </m:sub>
          </m:sSub>
          <m:r>
            <m:t>c</m:t>
          </m:r>
          <m:r>
            <m:t>o</m:t>
          </m:r>
          <m:r>
            <m:t>n</m:t>
          </m:r>
          <m:r>
            <m:t>t</m:t>
          </m:r>
          <m:r>
            <m:rPr>
              <m:sty m:val="p"/>
            </m:rPr>
            <m:t>_</m:t>
          </m:r>
          <m:r>
            <m:t>y</m:t>
          </m:r>
          <m:r>
            <m:t>e</m:t>
          </m:r>
          <m:r>
            <m:t>a</m:t>
          </m:r>
          <m:sSub>
            <m:e>
              <m:r>
                <m:t>r</m:t>
              </m:r>
            </m:e>
            <m:sub>
              <m:r>
                <m:t>i</m:t>
              </m:r>
            </m:sub>
          </m:sSub>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ϵ</m:t>
              </m:r>
            </m:e>
            <m:sub>
              <m:r>
                <m:t>i</m:t>
              </m:r>
            </m:sub>
          </m:sSub>
          <m:r>
            <m:t>  </m:t>
          </m:r>
          <m:r>
            <m:rPr>
              <m:sty m:val="p"/>
            </m:rPr>
            <m:t>(</m:t>
          </m:r>
          <m:r>
            <m:t>2</m:t>
          </m:r>
          <m:r>
            <m:rPr>
              <m:sty m:val="p"/>
            </m:rPr>
            <m:t>)</m:t>
          </m:r>
        </m:oMath>
      </m:oMathPara>
    </w:p>
    <w:p>
      <w:pPr>
        <w:pStyle w:val="FirstParagraph"/>
      </w:pPr>
      <w:r>
        <w:t xml:space="preserve">where equation (2) is the same as equation (1) with the addition of a linear term for</w:t>
      </w:r>
      <w:r>
        <w:t xml:space="preserve"> </w:t>
      </w:r>
      <m:oMath>
        <m:r>
          <m:t>c</m:t>
        </m:r>
        <m:r>
          <m:t>o</m:t>
        </m:r>
        <m:r>
          <m:t>n</m:t>
        </m:r>
        <m:r>
          <m:t>t</m:t>
        </m:r>
        <m:r>
          <m:rPr>
            <m:sty m:val="p"/>
          </m:rPr>
          <m:t>_</m:t>
        </m:r>
        <m:r>
          <m:t>y</m:t>
        </m:r>
        <m:r>
          <m:t>e</m:t>
        </m:r>
        <m:r>
          <m:t>a</m:t>
        </m:r>
        <m:r>
          <m:t>r</m:t>
        </m:r>
      </m:oMath>
      <w:r>
        <w:t xml:space="preserve"> </w:t>
      </w:r>
      <w:r>
        <w:t xml:space="preserve">related to</w:t>
      </w:r>
      <w:r>
        <w:t xml:space="preserve"> </w:t>
      </w:r>
      <m:oMath>
        <m:sSub>
          <m:e>
            <m:r>
              <m:t>y</m:t>
            </m:r>
          </m:e>
          <m:sub>
            <m:r>
              <m:t>i</m:t>
            </m:r>
          </m:sub>
        </m:sSub>
      </m:oMath>
      <w:r>
        <w:t xml:space="preserve"> </w:t>
      </w:r>
      <w:r>
        <w:t xml:space="preserve">by the</w:t>
      </w:r>
      <w:r>
        <w:t xml:space="preserve"> </w:t>
      </w:r>
      <m:oMath>
        <m:sSub>
          <m:e>
            <m:r>
              <m:t>β</m:t>
            </m:r>
          </m:e>
          <m:sub>
            <m:r>
              <m:t>1</m:t>
            </m:r>
          </m:sub>
        </m:sSub>
      </m:oMath>
      <w:r>
        <w:t xml:space="preserve"> </w:t>
      </w:r>
      <w:r>
        <w:t xml:space="preserve">slope parameter.</w:t>
      </w:r>
    </w:p>
    <w:p>
      <w:pPr>
        <w:pStyle w:val="BodyText"/>
      </w:pPr>
      <w:r>
        <w:t xml:space="preserve">This model is mathematically equivalent to model S (Table</w:t>
      </w:r>
      <w:r>
        <w:t xml:space="preserve"> </w:t>
      </w:r>
      <w:r>
        <w:t xml:space="preserve">3</w:t>
      </w:r>
      <w:r>
        <w:t xml:space="preserve">). The</w:t>
      </w:r>
      <w:r>
        <w:t xml:space="preserve"> </w:t>
      </w:r>
      <m:oMath>
        <m:sSub>
          <m:e>
            <m:r>
              <m:t>f</m:t>
            </m:r>
          </m:e>
          <m:sub>
            <m:r>
              <m:t>1</m:t>
            </m:r>
          </m:sub>
        </m:sSub>
        <m:r>
          <m:rPr>
            <m:sty m:val="p"/>
          </m:rPr>
          <m:t>(</m:t>
        </m:r>
        <m:r>
          <m:rPr>
            <m:sty m:val="p"/>
          </m:rPr>
          <m:t>)</m:t>
        </m:r>
      </m:oMath>
      <w:r>
        <w:t xml:space="preserve"> </w:t>
      </w:r>
      <w:r>
        <w:t xml:space="preserve">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m:oMathPara>
        <m:oMathParaPr>
          <m:jc m:val="center"/>
        </m:oMathParaPr>
        <m:oMath>
          <m:r>
            <m:rPr>
              <m:nor/>
              <m:sty m:val="p"/>
            </m:rPr>
            <m:t>Model SYD:</m:t>
          </m:r>
          <m:sSub>
            <m:e>
              <m:r>
                <m:t>y</m:t>
              </m:r>
            </m:e>
            <m:sub>
              <m:r>
                <m:t>i</m:t>
              </m:r>
            </m:sub>
          </m:sSub>
          <m:r>
            <m:rPr>
              <m:sty m:val="p"/>
            </m:rPr>
            <m:t>∼</m:t>
          </m:r>
          <m:r>
            <m:t> </m:t>
          </m:r>
          <m:sSub>
            <m:e>
              <m:r>
                <m:t>β</m:t>
              </m:r>
            </m:e>
            <m:sub>
              <m:r>
                <m:t>0</m:t>
              </m:r>
            </m:sub>
          </m:sSub>
          <m:r>
            <m:rPr>
              <m:sty m:val="p"/>
            </m:rPr>
            <m:t>+</m:t>
          </m:r>
          <m:sSub>
            <m:e>
              <m:r>
                <m:t>β</m:t>
              </m:r>
            </m:e>
            <m:sub>
              <m:r>
                <m:t>1</m:t>
              </m:r>
            </m:sub>
          </m:sSub>
          <m:r>
            <m:t>c</m:t>
          </m:r>
          <m:r>
            <m:t>o</m:t>
          </m:r>
          <m:r>
            <m:t>n</m:t>
          </m:r>
          <m:r>
            <m:t>t</m:t>
          </m:r>
          <m:r>
            <m:rPr>
              <m:sty m:val="p"/>
            </m:rPr>
            <m:t>_</m:t>
          </m:r>
          <m:r>
            <m:t>y</m:t>
          </m:r>
          <m:r>
            <m:t>e</m:t>
          </m:r>
          <m:r>
            <m:t>a</m:t>
          </m:r>
          <m:sSub>
            <m:e>
              <m:r>
                <m:t>r</m:t>
              </m:r>
            </m:e>
            <m:sub>
              <m:r>
                <m:t>i</m:t>
              </m:r>
            </m:sub>
          </m:sSub>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2</m:t>
              </m:r>
            </m:sub>
          </m:sSub>
          <m:d>
            <m:dPr>
              <m:begChr m:val="("/>
              <m:endChr m:val=""/>
              <m:grow/>
            </m:dPr>
            <m:e>
              <m:r>
                <m:t>d</m:t>
              </m:r>
              <m:r>
                <m:t>o</m:t>
              </m:r>
              <m:sSub>
                <m:e>
                  <m:r>
                    <m:t>y</m:t>
                  </m:r>
                </m:e>
                <m:sub>
                  <m:r>
                    <m:t>i</m:t>
                  </m:r>
                </m:sub>
              </m:sSub>
              <m:r>
                <m:rPr>
                  <m:sty m:val="p"/>
                </m:rPr>
                <m:t>)</m:t>
              </m:r>
              <m:r>
                <m:rPr>
                  <m:sty m:val="p"/>
                </m:rPr>
                <m:t>+</m:t>
              </m:r>
              <m:sSub>
                <m:e>
                  <m:r>
                    <m:t>ϵ</m:t>
                  </m:r>
                </m:e>
                <m:sub>
                  <m:r>
                    <m:t>i</m:t>
                  </m:r>
                </m:sub>
              </m:sSub>
              <m:r>
                <m:t>  </m:t>
              </m:r>
              <m:r>
                <m:rPr>
                  <m:sty m:val="p"/>
                </m:rPr>
                <m:t>(</m:t>
              </m:r>
              <m:r>
                <m:t>3</m:t>
              </m:r>
              <m:r>
                <m:rPr>
                  <m:sty m:val="p"/>
                </m:rPr>
                <m:t>)</m:t>
              </m:r>
            </m:e>
          </m:d>
        </m:oMath>
      </m:oMathPara>
    </w:p>
    <w:p>
      <w:pPr>
        <w:pStyle w:val="FirstParagraph"/>
      </w:pPr>
      <w:r>
        <w:t xml:space="preserve">where equation (3) is the same as equation (2) with the addition of a smoothing spline for</w:t>
      </w:r>
      <w:r>
        <w:t xml:space="preserve"> </w:t>
      </w:r>
      <w:r>
        <w:t xml:space="preserve">“</w:t>
      </w:r>
      <w:r>
        <w:t xml:space="preserve">day-of-year</w:t>
      </w:r>
      <w:r>
        <w:t xml:space="preserve">”</w:t>
      </w:r>
      <w:r>
        <w:t xml:space="preserve"> </w:t>
      </w:r>
      <w:r>
        <w:t xml:space="preserve">(</w:t>
      </w:r>
      <m:oMath>
        <m:r>
          <m:t>d</m:t>
        </m:r>
        <m:r>
          <m:t>o</m:t>
        </m:r>
        <m:r>
          <m:t>y</m:t>
        </m:r>
      </m:oMath>
      <w:r>
        <w:t xml:space="preserve">, i.e., Julian date, a count starting January 1 for each year). The</w:t>
      </w:r>
      <w:r>
        <w:t xml:space="preserve"> </w:t>
      </w:r>
      <m:oMath>
        <m:sSub>
          <m:e>
            <m:r>
              <m:t>f</m:t>
            </m:r>
          </m:e>
          <m:sub>
            <m:r>
              <m:t>2</m:t>
            </m:r>
          </m:sub>
        </m:sSub>
        <m:r>
          <m:rPr>
            <m:sty m:val="p"/>
          </m:rPr>
          <m:t>(</m:t>
        </m:r>
        <m:r>
          <m:rPr>
            <m:sty m:val="p"/>
          </m:rPr>
          <m:t>)</m:t>
        </m:r>
      </m:oMath>
      <w:r>
        <w:t xml:space="preserve"> </w:t>
      </w:r>
      <w:r>
        <w:t xml:space="preserve">spline is cyclic (using</w:t>
      </w:r>
      <w:r>
        <w:t xml:space="preserve"> </w:t>
      </w:r>
      <w:r>
        <w:rPr>
          <w:rStyle w:val="VerbatimChar"/>
        </w:rPr>
        <w:t xml:space="preserve">bs = 'cc'</w:t>
      </w:r>
      <w:r>
        <w:t xml:space="preserve"> </w:t>
      </w:r>
      <w:r>
        <w:t xml:space="preserve">in</w:t>
      </w:r>
      <w:r>
        <w:t xml:space="preserve"> </w:t>
      </w:r>
      <w:r>
        <w:rPr>
          <w:rStyle w:val="VerbatimChar"/>
        </w:rPr>
        <w:t xml:space="preserve">mgcv</w:t>
      </w:r>
      <w:r>
        <w:t xml:space="preserve">) to constrain the start and end at the same value. A user-specified number of knots is also included in</w:t>
      </w:r>
      <w:r>
        <w:t xml:space="preserve"> </w:t>
      </w:r>
      <m:oMath>
        <m:sSub>
          <m:e>
            <m:r>
              <m:t>f</m:t>
            </m:r>
          </m:e>
          <m:sub>
            <m:r>
              <m:t>2</m:t>
            </m:r>
          </m:sub>
        </m:sSub>
        <m:r>
          <m:rPr>
            <m:sty m:val="p"/>
          </m:rPr>
          <m:t>(</m:t>
        </m:r>
        <m:r>
          <m:rPr>
            <m:sty m:val="p"/>
          </m:rPr>
          <m:t>)</m:t>
        </m:r>
      </m:oMath>
      <w:r>
        <w:t xml:space="preserv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t>
      </w:r>
      <w:hyperlink w:anchor="ref-Wood17">
        <w:r>
          <w:rPr>
            <w:rStyle w:val="Hyperlink"/>
          </w:rPr>
          <w:t xml:space="preserve">Wood, 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m:oMathPara>
        <m:oMathParaPr>
          <m:jc m:val="center"/>
        </m:oMathParaPr>
        <m:oMath>
          <m:r>
            <m:rPr>
              <m:nor/>
              <m:sty m:val="p"/>
            </m:rPr>
            <m:t>Model SYDI:</m:t>
          </m:r>
          <m:sSub>
            <m:e>
              <m:r>
                <m:t>y</m:t>
              </m:r>
            </m:e>
            <m:sub>
              <m:r>
                <m:t>i</m:t>
              </m:r>
            </m:sub>
          </m:sSub>
          <m:r>
            <m:rPr>
              <m:sty m:val="p"/>
            </m:rPr>
            <m:t>∼</m:t>
          </m:r>
          <m:r>
            <m:t> </m:t>
          </m:r>
          <m:sSub>
            <m:e>
              <m:r>
                <m:t>β</m:t>
              </m:r>
            </m:e>
            <m:sub>
              <m:r>
                <m:t>0</m:t>
              </m:r>
            </m:sub>
          </m:sSub>
          <m:r>
            <m:rPr>
              <m:sty m:val="p"/>
            </m:rPr>
            <m:t>+</m:t>
          </m:r>
          <m:sSub>
            <m:e>
              <m:r>
                <m:t>β</m:t>
              </m:r>
            </m:e>
            <m:sub>
              <m:r>
                <m:t>1</m:t>
              </m:r>
            </m:sub>
          </m:sSub>
          <m:r>
            <m:t>c</m:t>
          </m:r>
          <m:r>
            <m:t>o</m:t>
          </m:r>
          <m:r>
            <m:t>n</m:t>
          </m:r>
          <m:r>
            <m:t>t</m:t>
          </m:r>
          <m:r>
            <m:rPr>
              <m:sty m:val="p"/>
            </m:rPr>
            <m:t>_</m:t>
          </m:r>
          <m:r>
            <m:t>y</m:t>
          </m:r>
          <m:r>
            <m:t>e</m:t>
          </m:r>
          <m:r>
            <m:t>a</m:t>
          </m:r>
          <m:sSub>
            <m:e>
              <m:r>
                <m:t>r</m:t>
              </m:r>
            </m:e>
            <m:sub>
              <m:r>
                <m:t>i</m:t>
              </m:r>
            </m:sub>
          </m:sSub>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2</m:t>
              </m:r>
            </m:sub>
          </m:sSub>
          <m:d>
            <m:dPr>
              <m:begChr m:val="("/>
              <m:endChr m:val=""/>
              <m:grow/>
            </m:dPr>
            <m:e>
              <m:r>
                <m:t>d</m:t>
              </m:r>
              <m:r>
                <m:t>o</m:t>
              </m:r>
              <m:sSub>
                <m:e>
                  <m:r>
                    <m:t>y</m:t>
                  </m:r>
                </m:e>
                <m:sub>
                  <m:r>
                    <m:t>i</m:t>
                  </m:r>
                </m:sub>
              </m:sSub>
              <m:r>
                <m:rPr>
                  <m:sty m:val="p"/>
                </m:rPr>
                <m:t>)</m:t>
              </m:r>
              <m:r>
                <m:rPr>
                  <m:sty m:val="p"/>
                </m:rPr>
                <m:t>+</m:t>
              </m:r>
              <m:sSub>
                <m:e>
                  <m:r>
                    <m:t>f</m:t>
                  </m:r>
                </m:e>
                <m:sub>
                  <m:r>
                    <m:t>3</m:t>
                  </m:r>
                </m:sub>
              </m:sSub>
              <m:d>
                <m:dPr>
                  <m:begChr m:val="("/>
                  <m:endChr m:val=")"/>
                  <m:grow/>
                </m:dPr>
                <m:e>
                  <m:r>
                    <m:t>c</m:t>
                  </m:r>
                  <m:r>
                    <m:t>o</m:t>
                  </m:r>
                  <m:r>
                    <m:t>n</m:t>
                  </m:r>
                  <m:r>
                    <m:t>t</m:t>
                  </m:r>
                  <m:r>
                    <m:rPr>
                      <m:sty m:val="p"/>
                    </m:rPr>
                    <m:t>_</m:t>
                  </m:r>
                  <m:r>
                    <m:t>y</m:t>
                  </m:r>
                  <m:r>
                    <m:t>e</m:t>
                  </m:r>
                  <m:r>
                    <m:t>a</m:t>
                  </m:r>
                  <m:sSub>
                    <m:e>
                      <m:r>
                        <m:t>r</m:t>
                      </m:r>
                    </m:e>
                    <m:sub>
                      <m:r>
                        <m:t>i</m:t>
                      </m:r>
                    </m:sub>
                  </m:sSub>
                  <m:r>
                    <m:rPr>
                      <m:sty m:val="p"/>
                    </m:rPr>
                    <m:t>,</m:t>
                  </m:r>
                  <m:r>
                    <m:t>d</m:t>
                  </m:r>
                  <m:r>
                    <m:t>o</m:t>
                  </m:r>
                  <m:sSub>
                    <m:e>
                      <m:r>
                        <m:t>y</m:t>
                      </m:r>
                    </m:e>
                    <m:sub>
                      <m:r>
                        <m:t>i</m:t>
                      </m:r>
                    </m:sub>
                  </m:sSub>
                </m:e>
              </m:d>
              <m:r>
                <m:rPr>
                  <m:sty m:val="p"/>
                </m:rPr>
                <m:t>+</m:t>
              </m:r>
              <m:sSub>
                <m:e>
                  <m:r>
                    <m:t>ϵ</m:t>
                  </m:r>
                </m:e>
                <m:sub>
                  <m:r>
                    <m:t>i</m:t>
                  </m:r>
                </m:sub>
              </m:sSub>
              <m:r>
                <m:t>  </m:t>
              </m:r>
              <m:r>
                <m:rPr>
                  <m:sty m:val="p"/>
                </m:rPr>
                <m:t>(</m:t>
              </m:r>
              <m:r>
                <m:t>4</m:t>
              </m:r>
              <m:r>
                <m:rPr>
                  <m:sty m:val="p"/>
                </m:rPr>
                <m:t>)</m:t>
              </m:r>
            </m:e>
          </m:d>
        </m:oMath>
      </m:oMathPara>
    </w:p>
    <w:p>
      <w:pPr>
        <w:pStyle w:val="FirstParagraph"/>
      </w:pPr>
      <w:r>
        <w:t xml:space="preserve">where equation (4) is the same as equation (3) with the addition of a tensor-product smoothing spline (</w:t>
      </w:r>
      <w:r>
        <w:rPr>
          <w:rStyle w:val="VerbatimChar"/>
        </w:rPr>
        <w:t xml:space="preserve">ti()</w:t>
      </w:r>
      <w:r>
        <w:t xml:space="preserve"> </w:t>
      </w:r>
      <w:r>
        <w:t xml:space="preserve">in</w:t>
      </w:r>
      <w:r>
        <w:t xml:space="preserve"> </w:t>
      </w:r>
      <w:r>
        <w:rPr>
          <w:rStyle w:val="VerbatimChar"/>
        </w:rPr>
        <w:t xml:space="preserve">mgcv</w:t>
      </w:r>
      <w:r>
        <w:t xml:space="preserve">) that varies smoothly as a function of both</w:t>
      </w:r>
      <w:r>
        <w:t xml:space="preserve"> </w:t>
      </w:r>
      <m:oMath>
        <m:r>
          <m:t>c</m:t>
        </m:r>
        <m:r>
          <m:t>o</m:t>
        </m:r>
        <m:r>
          <m:t>n</m:t>
        </m:r>
        <m:r>
          <m:t>t</m:t>
        </m:r>
        <m:r>
          <m:rPr>
            <m:sty m:val="p"/>
          </m:rPr>
          <m:t>_</m:t>
        </m:r>
        <m:r>
          <m:t>y</m:t>
        </m:r>
        <m:r>
          <m:t>e</m:t>
        </m:r>
        <m:r>
          <m:t>a</m:t>
        </m:r>
        <m:r>
          <m:t>r</m:t>
        </m:r>
      </m:oMath>
      <w:r>
        <w:t xml:space="preserve"> </w:t>
      </w:r>
      <w:r>
        <w:t xml:space="preserve">and</w:t>
      </w:r>
      <w:r>
        <w:t xml:space="preserve"> </w:t>
      </w:r>
      <m:oMath>
        <m:r>
          <m:t>d</m:t>
        </m:r>
        <m:r>
          <m:t>o</m:t>
        </m:r>
        <m:r>
          <m:t>y</m:t>
        </m:r>
      </m:oMath>
      <w:r>
        <w:t xml:space="preserve">. Both</w:t>
      </w:r>
      <w:r>
        <w:t xml:space="preserve"> </w:t>
      </w:r>
      <m:oMath>
        <m:r>
          <m:t>c</m:t>
        </m:r>
        <m:r>
          <m:t>o</m:t>
        </m:r>
        <m:r>
          <m:t>n</m:t>
        </m:r>
        <m:r>
          <m:t>t</m:t>
        </m:r>
        <m:r>
          <m:rPr>
            <m:sty m:val="p"/>
          </m:rPr>
          <m:t>_</m:t>
        </m:r>
        <m:r>
          <m:t>y</m:t>
        </m:r>
        <m:r>
          <m:t>e</m:t>
        </m:r>
        <m:r>
          <m:t>a</m:t>
        </m:r>
        <m:r>
          <m:t>r</m:t>
        </m:r>
      </m:oMath>
      <w:r>
        <w:t xml:space="preserve"> </w:t>
      </w:r>
      <w:r>
        <w:t xml:space="preserve">and</w:t>
      </w:r>
      <w:r>
        <w:t xml:space="preserve"> </w:t>
      </w:r>
      <m:oMath>
        <m:r>
          <m:t>d</m:t>
        </m:r>
        <m:r>
          <m:t>o</m:t>
        </m:r>
        <m:r>
          <m:t>y</m:t>
        </m:r>
      </m:oMath>
      <w:r>
        <w:t xml:space="preserve"> </w:t>
      </w:r>
      <w:r>
        <w:t xml:space="preserve">include their own number of knots, such that the total number of knots for the spline is the product of the two. The need for sufficient knots in SYDI can be satisfied either by sufficiently many knots for</w:t>
      </w:r>
      <w:r>
        <w:t xml:space="preserve"> </w:t>
      </w:r>
      <m:oMath>
        <m:sSub>
          <m:e>
            <m:r>
              <m:t>f</m:t>
            </m:r>
          </m:e>
          <m:sub>
            <m:r>
              <m:t>3</m:t>
            </m:r>
          </m:sub>
        </m:sSub>
        <m:r>
          <m:rPr>
            <m:sty m:val="p"/>
          </m:rPr>
          <m:t>(</m:t>
        </m:r>
        <m:r>
          <m:rPr>
            <m:sty m:val="p"/>
          </m:rPr>
          <m:t>)</m:t>
        </m:r>
      </m:oMath>
      <w:r>
        <w:t xml:space="preserve"> </w:t>
      </w:r>
      <w:r>
        <w:t xml:space="preserve">or sufficiently many knots for</w:t>
      </w:r>
      <w:r>
        <w:t xml:space="preserve"> </w:t>
      </w:r>
      <m:oMath>
        <m:sSub>
          <m:e>
            <m:r>
              <m:t>f</m:t>
            </m:r>
          </m:e>
          <m:sub>
            <m:r>
              <m:t>1</m:t>
            </m:r>
          </m:sub>
        </m:sSub>
        <m:r>
          <m:rPr>
            <m:sty m:val="p"/>
          </m:rPr>
          <m:t>(</m:t>
        </m:r>
        <m:r>
          <m:rPr>
            <m:sty m:val="p"/>
          </m:rPr>
          <m:t>)</m:t>
        </m:r>
      </m:oMath>
      <w:r>
        <w:t xml:space="preserve"> </w:t>
      </w:r>
      <w:r>
        <w:t xml:space="preserve">or</w:t>
      </w:r>
      <w:r>
        <w:t xml:space="preserve"> </w:t>
      </w:r>
      <m:oMath>
        <m:sSub>
          <m:e>
            <m:r>
              <m:t>f</m:t>
            </m:r>
          </m:e>
          <m:sub>
            <m:r>
              <m:t>2</m:t>
            </m:r>
          </m:sub>
        </m:sSub>
        <m:r>
          <m:rPr>
            <m:sty m:val="p"/>
          </m:rPr>
          <m:t>(</m:t>
        </m:r>
        <m:r>
          <m:rPr>
            <m:sty m:val="p"/>
          </m:rPr>
          <m:t>)</m:t>
        </m:r>
      </m:oMath>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 tensor-product spline represents an interaction by allowing the pattern in</w:t>
      </w:r>
      <w:r>
        <w:t xml:space="preserve"> </w:t>
      </w:r>
      <m:oMath>
        <m:r>
          <m:t>c</m:t>
        </m:r>
        <m:r>
          <m:t>o</m:t>
        </m:r>
        <m:r>
          <m:t>n</m:t>
        </m:r>
        <m:r>
          <m:t>t</m:t>
        </m:r>
        <m:r>
          <m:rPr>
            <m:sty m:val="p"/>
          </m:rPr>
          <m:t>_</m:t>
        </m:r>
        <m:r>
          <m:t>y</m:t>
        </m:r>
        <m:r>
          <m:t>e</m:t>
        </m:r>
        <m:r>
          <m:t>a</m:t>
        </m:r>
        <m:r>
          <m:t>r</m:t>
        </m:r>
      </m:oMath>
      <w:r>
        <w:t xml:space="preserve"> </w:t>
      </w:r>
      <w:r>
        <w:t xml:space="preserve">to vary by</w:t>
      </w:r>
      <w:r>
        <w:t xml:space="preserve"> </w:t>
      </w:r>
      <m:oMath>
        <m:r>
          <m:t>d</m:t>
        </m:r>
        <m:r>
          <m:t>o</m:t>
        </m:r>
        <m:r>
          <m:t>y</m:t>
        </m:r>
      </m:oMath>
      <w:r>
        <w:t xml:space="preserve"> </w:t>
      </w:r>
      <w:r>
        <w:t xml:space="preserve">and vice-versa. The interaction term provides an appearance that model SYDI is fundamentally different from those provided by the other models. However, models S, SY, and SYD also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m:oMath>
        <m:r>
          <m:t>c</m:t>
        </m:r>
        <m:r>
          <m:t>o</m:t>
        </m:r>
        <m:r>
          <m:t>n</m:t>
        </m:r>
        <m:r>
          <m:t>t</m:t>
        </m:r>
        <m:r>
          <m:rPr>
            <m:sty m:val="p"/>
          </m:rPr>
          <m:t>_</m:t>
        </m:r>
        <m:r>
          <m:t>y</m:t>
        </m:r>
        <m:r>
          <m:t>e</m:t>
        </m:r>
        <m:r>
          <m:t>a</m:t>
        </m:r>
        <m:r>
          <m:t>r</m:t>
        </m:r>
      </m:oMath>
      <w:r>
        <w:t xml:space="preserve"> </w:t>
      </w:r>
      <w:r>
        <w:t xml:space="preserve">spline</w:t>
      </w:r>
      <w:r>
        <w:t xml:space="preserve"> </w:t>
      </w:r>
      <w:r>
        <w:rPr>
          <w:iCs/>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 a cyclic spline for</w:t>
      </w:r>
      <w:r>
        <w:t xml:space="preserve"> </w:t>
      </w:r>
      <w:r>
        <w:rPr>
          <w:rStyle w:val="VerbatimChar"/>
        </w:rPr>
        <w:t xml:space="preserve">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for the</w:t>
      </w:r>
      <w:r>
        <w:t xml:space="preserve"> </w:t>
      </w:r>
      <w:r>
        <w:rPr>
          <w:rStyle w:val="VerbatimChar"/>
        </w:rPr>
        <w:t xml:space="preserve">cont_year</w:t>
      </w:r>
      <w:r>
        <w:t xml:space="preserve"> </w:t>
      </w:r>
      <w:r>
        <w:t xml:space="preserve">spline (</w:t>
      </w:r>
      <m:oMath>
        <m:sSub>
          <m:e>
            <m:r>
              <m:t>f</m:t>
            </m:r>
          </m:e>
          <m:sub>
            <m:r>
              <m:t>1</m:t>
            </m:r>
          </m:sub>
        </m:sSub>
        <m:r>
          <m:rPr>
            <m:sty m:val="p"/>
          </m:rPr>
          <m:t>(</m:t>
        </m:r>
        <m:r>
          <m:rPr>
            <m:sty m:val="p"/>
          </m:rPr>
          <m:t>)</m:t>
        </m:r>
      </m:oMath>
      <w:r>
        <w:t xml:space="preserve">) of 2/3 times the number of years and do not explicitly consider the number of knots in the interaction spline, following an</w:t>
      </w:r>
      <w:r>
        <w:t xml:space="preserve"> </w:t>
      </w:r>
      <w:r>
        <w:rPr>
          <w:iCs/>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m:oMath>
        <m:sSub>
          <m:e>
            <m:r>
              <m:t>f</m:t>
            </m:r>
          </m:e>
          <m:sub>
            <m:r>
              <m:t>1</m:t>
            </m:r>
          </m:sub>
        </m:sSub>
        <m:r>
          <m:rPr>
            <m:sty m:val="p"/>
          </m:rPr>
          <m:t>(</m:t>
        </m:r>
        <m:r>
          <m:rPr>
            <m:sty m:val="p"/>
          </m:rPr>
          <m:t>)</m:t>
        </m:r>
      </m:oMath>
      <w:r>
        <w:t xml:space="preserve"> </w:t>
      </w:r>
      <w:r>
        <w:t xml:space="preserve">term. Finally,</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a sufficiently high number of knots for the respective splines 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the component of predictions explained by the continuous year smoother (</w:t>
      </w:r>
      <m:oMath>
        <m:sSub>
          <m:e>
            <m:r>
              <m:t>f</m:t>
            </m:r>
          </m:e>
          <m:sub>
            <m:r>
              <m:t>1</m:t>
            </m:r>
          </m:sub>
        </m:sSub>
        <m:d>
          <m:dPr>
            <m:begChr m:val="("/>
            <m:endChr m:val=")"/>
            <m:grow/>
          </m:dPr>
          <m:e/>
        </m:d>
      </m:oMath>
      <w:r>
        <w:t xml:space="preserve">) differs between models that include additional smoothers to absorb some patterns in the data.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m:oMath>
        <m:sSub>
          <m:e>
            <m:r>
              <m:t>f</m:t>
            </m:r>
          </m:e>
          <m:sub>
            <m:r>
              <m:t>1</m:t>
            </m:r>
          </m:sub>
        </m:sSub>
        <m:r>
          <m:rPr>
            <m:sty m:val="p"/>
          </m:rPr>
          <m:t>(</m:t>
        </m:r>
        <m:r>
          <m:rPr>
            <m:sty m:val="p"/>
          </m:rPr>
          <m:t>)</m:t>
        </m:r>
      </m:oMath>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bookmarkEnd w:id="32"/>
    <w:bookmarkStart w:id="33" w:name="X79341b4d8d7ec317f2877c2fc7a73487dbf3a2a"/>
    <w:p>
      <w:pPr>
        <w:pStyle w:val="Heading3"/>
      </w:pPr>
      <w:r>
        <w:t xml:space="preserve">Second-stage analysis: Seasonal features with uncertainties</w:t>
      </w:r>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rPr>
                <m:sty m:val="p"/>
              </m:rP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rPr>
            <m:sty m:val="p"/>
          </m:rP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rPr>
            <m:sty m:val="p"/>
          </m:rP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rPr>
            <m:sty m:val="p"/>
          </m:rP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rPr>
            <m:sty m:val="p"/>
          </m:rP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rPr>
            <m:sty m:val="p"/>
          </m:rPr>
          <m:t>=</m:t>
        </m:r>
        <m:sSup>
          <m:e>
            <m:r>
              <m:t>A</m:t>
            </m:r>
          </m:e>
          <m:sup>
            <m:r>
              <m:t>T</m:t>
            </m:r>
          </m:sup>
        </m:sSup>
        <m:sSub>
          <m:e>
            <m:acc>
              <m:accPr>
                <m:chr m:val="̂"/>
              </m:accPr>
              <m:e>
                <m:r>
                  <m:t>Σ</m:t>
                </m:r>
              </m:e>
            </m:acc>
          </m:e>
          <m:sub>
            <m:acc>
              <m:accPr>
                <m:chr m:val="̂"/>
              </m:accPr>
              <m:e>
                <m:r>
                  <m:rPr>
                    <m:sty m:val="b"/>
                  </m:rPr>
                  <m:t>y</m:t>
                </m:r>
              </m:e>
            </m:acc>
          </m:sub>
        </m:sSub>
        <m:r>
          <m:t>A</m:t>
        </m:r>
      </m:oMath>
      <w:r>
        <w:t xml:space="preserve">, and its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bookmarkEnd w:id="33"/>
    <w:bookmarkStart w:id="34" w:name="Xbb2bf851335ed0e6d3f492840f782620d429aef"/>
    <w:p>
      <w:pPr>
        <w:pStyle w:val="Heading3"/>
      </w:pPr>
      <w:r>
        <w:t xml:space="preserve">Third-stage analysis: Trend analysis of seasonal features with uncertainties</w:t>
      </w:r>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rPr>
                <m:sty m:val="p"/>
              </m:rP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rPr>
            <m:sty m:val="p"/>
          </m:rPr>
          <m:t>=</m:t>
        </m:r>
        <m:r>
          <m:t>1</m:t>
        </m:r>
        <m:r>
          <m:rPr>
            <m:sty m:val="p"/>
          </m:rPr>
          <m:t>,</m:t>
        </m:r>
        <m:r>
          <m:rPr>
            <m:sty m:val="p"/>
          </m:rPr>
          <m:t>…</m:t>
        </m:r>
        <m:r>
          <m:rPr>
            <m:sty m:val="p"/>
          </m:rPr>
          <m:t>,</m:t>
        </m:r>
        <m:r>
          <m:t>N</m:t>
        </m:r>
      </m:oMath>
      <w:r>
        <w:t xml:space="preserve">, with their associated standard errors,</w:t>
      </w:r>
      <w:r>
        <w:t xml:space="preserve"> </w:t>
      </w:r>
      <m:oMath>
        <m:sSub>
          <m:e>
            <m:acc>
              <m:accPr>
                <m:chr m:val="̂"/>
              </m:accPr>
              <m:e>
                <m:r>
                  <m:t>σ</m:t>
                </m:r>
              </m:e>
            </m:acc>
          </m:e>
          <m:sub>
            <m:acc>
              <m:accPr>
                <m:chr m:val="̂"/>
              </m:accPr>
              <m:e>
                <m:r>
                  <m:t>μ</m:t>
                </m:r>
              </m:e>
            </m:acc>
            <m:r>
              <m:rPr>
                <m:sty m:val="p"/>
              </m:rP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rPr>
                <m:sty m:val="p"/>
              </m:rP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hyperlink w:anchor="ref-Sera19">
        <w:r>
          <w:rPr>
            <w:rStyle w:val="Hyperlink"/>
          </w:rPr>
          <w:t xml:space="preserve">Sera et al.</w:t>
        </w:r>
      </w:hyperlink>
      <w:r>
        <w:t xml:space="preserve"> </w:t>
      </w:r>
      <w:r>
        <w:t xml:space="preserve">(</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r>
            <m:rPr>
              <m:sty m:val="p"/>
            </m:rPr>
            <m:t>+</m:t>
          </m:r>
          <m:sSub>
            <m:e>
              <m:r>
                <m:t>ϵ</m:t>
              </m:r>
            </m:e>
            <m:sub>
              <m:r>
                <m:t>t</m:t>
              </m:r>
            </m:sub>
          </m:sSub>
          <m:r>
            <m:t>  </m:t>
          </m:r>
          <m:r>
            <m:rPr>
              <m:sty m:val="p"/>
            </m:rPr>
            <m:t>(</m:t>
          </m:r>
          <m:r>
            <m:t>5</m:t>
          </m:r>
          <m:r>
            <m:rPr>
              <m:sty m:val="p"/>
            </m:rP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oMath>
      <w:r>
        <w:t xml:space="preserve">. The</w:t>
      </w:r>
      <w:r>
        <w:t xml:space="preserve"> </w:t>
      </w:r>
      <w:r>
        <w:t xml:space="preserve">“</w:t>
      </w:r>
      <w:r>
        <w:t xml:space="preserve">residual,</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rPr>
            <m:sty m:val="p"/>
          </m:rPr>
          <m:t>−</m:t>
        </m:r>
        <m:sSub>
          <m:e>
            <m:r>
              <m:t>μ</m:t>
            </m:r>
          </m:e>
          <m:sub>
            <m:r>
              <m:t>t</m:t>
            </m:r>
          </m:sub>
        </m:sSub>
      </m:oMath>
      <w:r>
        <w:t xml:space="preserve">. The residuals are assumed to be independent and normally distributed with mean 0 and variances</w:t>
      </w:r>
      <w:r>
        <w:t xml:space="preserve"> </w:t>
      </w:r>
      <m:oMath>
        <m:sSubSup>
          <m:e>
            <m:acc>
              <m:accPr>
                <m:chr m:val="̂"/>
              </m:accPr>
              <m:e>
                <m:r>
                  <m:t>σ</m:t>
                </m:r>
              </m:e>
            </m:acc>
          </m:e>
          <m:sub>
            <m:acc>
              <m:accPr>
                <m:chr m:val="̂"/>
              </m:accPr>
              <m:e>
                <m:r>
                  <m:t>μ</m:t>
                </m:r>
              </m:e>
            </m:acc>
            <m:r>
              <m:rPr>
                <m:sty m:val="p"/>
              </m:rP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rPr>
            <m:sty m:val="p"/>
          </m:rP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(5)) using the</w:t>
      </w:r>
      <w:r>
        <w:t xml:space="preserve"> </w:t>
      </w:r>
      <w:r>
        <w:rPr>
          <w:iCs/>
          <w:i/>
        </w:rPr>
        <w:t xml:space="preserve">mixmeta</w:t>
      </w:r>
      <w:r>
        <w:t xml:space="preserve"> </w:t>
      </w:r>
      <w:r>
        <w:t xml:space="preserve">package in R</w:t>
      </w:r>
      <w:r>
        <w:t xml:space="preserve"> </w:t>
      </w:r>
      <w:r>
        <w:t xml:space="preserve">(</w:t>
      </w:r>
      <w:hyperlink w:anchor="ref-Sera19">
        <w:r>
          <w:rPr>
            <w:rStyle w:val="Hyperlink"/>
          </w:rPr>
          <w:t xml:space="preserve">Sera et al., 2019</w:t>
        </w:r>
      </w:hyperlink>
      <w:r>
        <w:t xml:space="preserve">)</w:t>
      </w:r>
      <w:r>
        <w:t xml:space="preserve">. Results from</w:t>
      </w:r>
      <w:r>
        <w:t xml:space="preserve"> </w:t>
      </w:r>
      <w:r>
        <w:rPr>
          <w:iCs/>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Cs/>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bookmarkEnd w:id="34"/>
    <w:bookmarkStart w:id="35" w:name="trend-comparisons"/>
    <w:p>
      <w:pPr>
        <w:pStyle w:val="Heading3"/>
      </w:pPr>
      <w:r>
        <w:t xml:space="preserve">Trend comparisons</w:t>
      </w:r>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w:t>
      </w:r>
      <w:hyperlink w:anchor="ref-Cloern20">
        <w:r>
          <w:rPr>
            <w:rStyle w:val="Hyperlink"/>
          </w:rPr>
          <w:t xml:space="preserve">Cloern et al., 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where differences were pronounced were used for illustration. This analysis was then applied to all stations. The method that formally propagates uncertainty should have more robust statistical properties, such as accurate confidence interval coverage, than naïve methods. For this reason, even when results are similar across methods, the more robust method provides the best support for those results.</w:t>
      </w:r>
    </w:p>
    <w:bookmarkEnd w:id="35"/>
    <w:bookmarkEnd w:id="36"/>
    <w:bookmarkEnd w:id="37"/>
    <w:bookmarkStart w:id="41" w:name="results"/>
    <w:p>
      <w:pPr>
        <w:pStyle w:val="Heading1"/>
      </w:pPr>
      <w:r>
        <w:t xml:space="preserve">Results</w:t>
      </w:r>
    </w:p>
    <w:bookmarkStart w:id="38" w:name="model-performance-and-predictions"/>
    <w:p>
      <w:pPr>
        <w:pStyle w:val="Heading2"/>
      </w:pPr>
      <w:r>
        <w:t xml:space="preserve">Model performance and predictions</w:t>
      </w:r>
    </w:p>
    <w:p>
      <w:pPr>
        <w:pStyle w:val="FirstParagraph"/>
      </w:pPr>
      <w:r>
        <w:t xml:space="preserve">Model predictions for chl-a trends across all stations had an average R-squared value of 71% (Table</w:t>
      </w:r>
      <w:r>
        <w:t xml:space="preserve"> </w:t>
      </w:r>
      <w:r>
        <w:t xml:space="preserve">4</w:t>
      </w:r>
      <w:r>
        <w:t xml:space="preserve">) and range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bookmarkEnd w:id="38"/>
    <w:bookmarkStart w:id="39" w:name="inter-annual-trend-estimates"/>
    <w:p>
      <w:pPr>
        <w:pStyle w:val="Heading2"/>
      </w:pPr>
      <w:r>
        <w:t xml:space="preserve">Inter-annual trend estimates</w:t>
      </w:r>
    </w:p>
    <w:p>
      <w:pPr>
        <w:pStyle w:val="FirstParagraph"/>
      </w:pPr>
      <w:r>
        <w:t xml:space="preserve">Estimates from the seasonal trend analyses (mixed-effects meta-analysis regressions) across roughly ten-year windows for different seasons are shown for station 34 (Figure</w:t>
      </w:r>
      <w:r>
        <w:t xml:space="preserve"> </w:t>
      </w:r>
      <w:r>
        <w:t xml:space="preserve">4</w:t>
      </w:r>
      <w:r>
        <w:t xml:space="preserve">). Plots a-c show trends in January to June averages while plots d-f show trends in July to December averages.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rPr>
                <m:sty m:val="p"/>
              </m:rPr>
              <m:t>−</m:t>
            </m:r>
            <m:r>
              <m:t>1</m:t>
            </m:r>
          </m:sup>
        </m:sSup>
      </m:oMath>
      <w:r>
        <w:t xml:space="preserve"> </w:t>
      </w:r>
      <w:r>
        <w:t xml:space="preserve">yr</w:t>
      </w:r>
      <m:oMath>
        <m:sSup>
          <m:e>
            <m:r>
              <m:t>​</m:t>
            </m:r>
          </m:e>
          <m:sup>
            <m:r>
              <m:rPr>
                <m:sty m:val="p"/>
              </m:rPr>
              <m:t>−</m:t>
            </m:r>
            <m:r>
              <m:t>1</m:t>
            </m:r>
          </m:sup>
        </m:sSup>
      </m:oMath>
      <w:r>
        <w:t xml:space="preserve">, 0.01-0.05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0-0.05 95% confidence interval). Finally, chl-a decreased from 2010 to 2019 but again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The seasonal trend analyses showed that increases (based on</w:t>
      </w:r>
      <w:r>
        <w:t xml:space="preserve"> </w:t>
      </w:r>
      <m:oMath>
        <m:r>
          <m:t>p</m:t>
        </m:r>
        <m:r>
          <m:rPr>
            <m:sty m:val="p"/>
          </m:rPr>
          <m:t>&lt;</m:t>
        </m:r>
        <m:r>
          <m:t>0.05</m:t>
        </m:r>
      </m:oMath>
      <w:r>
        <w:t xml:space="preserve">) for the January to June period were observed at stations 32 and 34 from 1991 to 2000; decreases were observed at stations 30 and 32 from 2010 to 2019. For the July to December period, increases were observed at stations 24, 27, 30, and 32 from 1991 to 2000 and stations 18, 21, 22, 24,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that were more often observed in the July to December period. Additionally, chl-a at the more northern stations has not changed in recent years for either seasonal period. For most stations and seasonal periods, a change from increasing to decreasing chl-a occurred around 2007.</w:t>
      </w:r>
    </w:p>
    <w:bookmarkEnd w:id="39"/>
    <w:bookmarkStart w:id="40" w:name="importance-of-uncertainty-propagation"/>
    <w:p>
      <w:pPr>
        <w:pStyle w:val="Heading2"/>
      </w:pPr>
      <w:r>
        <w:t xml:space="preserve">Importance of uncertainty propagation</w:t>
      </w:r>
    </w:p>
    <w:p>
      <w:pPr>
        <w:pStyle w:val="FirstParagraph"/>
      </w:pPr>
      <w:r>
        <w:t xml:space="preserve">Results showing trend estimates from meta-analysis on GAM seasonal averages provided different conclusions than those from either OLS regression through seasonal averages from raw data (Figure</w:t>
      </w:r>
      <w:r>
        <w:t xml:space="preserve"> </w:t>
      </w:r>
      <w:r>
        <w:t xml:space="preserve">7</w:t>
      </w:r>
      <w:r>
        <w:t xml:space="preserve"> </w:t>
      </w:r>
      <w:r>
        <w:t xml:space="preserve">row 1) or OLS regression through GAM seasonal averages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30 for January to June averages from 2000 to 2010. Only the meta-analysis regression results show a trend in this example (based on</w:t>
      </w:r>
      <w:r>
        <w:t xml:space="preserve"> </w:t>
      </w:r>
      <m:oMath>
        <m:r>
          <m:t>p</m:t>
        </m:r>
        <m:r>
          <m:rPr>
            <m:sty m:val="p"/>
          </m:rP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at station 34 for July to December averages from 1991 to 2000. Unlike the first example, only the middle figure shows a trend, whereas the top and bottom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bookmarkEnd w:id="40"/>
    <w:bookmarkEnd w:id="41"/>
    <w:bookmarkStart w:id="43" w:name="discussion"/>
    <w:p>
      <w:pPr>
        <w:pStyle w:val="Heading1"/>
      </w:pPr>
      <w:r>
        <w:t xml:space="preserve">Discussion</w:t>
      </w:r>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w:t>
      </w:r>
      <w:hyperlink w:anchor="ref-Junninen04">
        <w:r>
          <w:rPr>
            <w:rStyle w:val="Hyperlink"/>
          </w:rPr>
          <w:t xml:space="preserve">Junninen et al., 2004</w:t>
        </w:r>
      </w:hyperlink>
      <w:r>
        <w:t xml:space="preserve">;</w:t>
      </w:r>
      <w:r>
        <w:t xml:space="preserve"> </w:t>
      </w:r>
      <w:hyperlink w:anchor="ref-Racault14">
        <w:r>
          <w:rPr>
            <w:rStyle w:val="Hyperlink"/>
          </w:rPr>
          <w:t xml:space="preserve">Racault et al., 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 These methods only assess the direction and significance of comparisons across years,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w:t>
      </w:r>
      <w:hyperlink w:anchor="ref-Smith01">
        <w:r>
          <w:rPr>
            <w:rStyle w:val="Hyperlink"/>
          </w:rPr>
          <w:t xml:space="preserve">Smith et al., 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The</w:t>
      </w:r>
      <w:r>
        <w:t xml:space="preserve"> </w:t>
      </w:r>
      <w:r>
        <w:t xml:space="preserve">“</w:t>
      </w:r>
      <w:r>
        <w:t xml:space="preserve">naïve</w:t>
      </w:r>
      <w:r>
        <w:t xml:space="preserve">”</w:t>
      </w:r>
      <w:r>
        <w:t xml:space="preserve"> </w:t>
      </w:r>
      <w:r>
        <w:t xml:space="preserve">method using OLS regression applied to seasonal averages from the raw observations fails to propagate uncertainty, similarly to averaging results within a year and applying a simple Kendall test. In some cases the results may be similar to those from fully propagating uncertainty, but the loss of information can lead to increased Type I or II error rates depending on characteristics of the raw data and the method used for their evaluation</w:t>
      </w:r>
      <w:r>
        <w:t xml:space="preserve"> </w:t>
      </w:r>
      <w:r>
        <w:t xml:space="preserve">(</w:t>
      </w:r>
      <w:hyperlink w:anchor="ref-Shabman03">
        <w:r>
          <w:rPr>
            <w:rStyle w:val="Hyperlink"/>
          </w:rPr>
          <w:t xml:space="preserve">Shabman and Smith, 2003</w:t>
        </w:r>
      </w:hyperlink>
      <w:r>
        <w:t xml:space="preserve">)</w:t>
      </w:r>
      <w:r>
        <w:t xml:space="preserve">. Our examples demonstrated the increased potential for incorrect conclusions at specific monitoring locations and, at larger spatial scales, across all stations if simpler trend analyses are used. Even though simpler methods may produce similar results in some cases, particularly with frequent sampling and similar effort between years, the only way to confirm such an outcome would be to compare results, relying on the method with full propagation of uncertainty to be the more robust method. Use of methods that fully account for uncertainty is recommended to obtain statistically valid results in a wider range of conditions.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t>
      </w:r>
      <w:hyperlink w:anchor="ref-Wood17">
        <w:r>
          <w:rPr>
            <w:rStyle w:val="Hyperlink"/>
          </w:rPr>
          <w:t xml:space="preserve">Wood, 2017</w:t>
        </w:r>
      </w:hyperlink>
      <w:r>
        <w:t xml:space="preserve">,</w:t>
      </w:r>
      <w:r>
        <w:t xml:space="preserve"> </w:t>
      </w:r>
      <w:hyperlink w:anchor="ref-Wood04">
        <w:r>
          <w:rPr>
            <w:rStyle w:val="Hyperlink"/>
          </w:rPr>
          <w:t xml:space="preserve">2004</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w:t>
      </w:r>
      <w:hyperlink w:anchor="ref-Hirsch10">
        <w:r>
          <w:rPr>
            <w:rStyle w:val="Hyperlink"/>
          </w:rPr>
          <w:t xml:space="preserve">Hirsch et al., 2010</w:t>
        </w:r>
      </w:hyperlink>
      <w:r>
        <w:t xml:space="preserve">;</w:t>
      </w:r>
      <w:r>
        <w:t xml:space="preserve"> </w:t>
      </w:r>
      <w:hyperlink w:anchor="ref-Wan17">
        <w:r>
          <w:rPr>
            <w:rStyle w:val="Hyperlink"/>
          </w:rPr>
          <w:t xml:space="preserve">Wan et al., 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 accurate signal of actual trends that are minimally influenced by process or observation error present in the raw data.</w:t>
      </w:r>
    </w:p>
    <w:p>
      <w:pPr>
        <w:pStyle w:val="BodyText"/>
      </w:pPr>
      <w:r>
        <w:t xml:space="preserve">Several limitations of the proposed methods deserve mention. First, if sampling is so irregular that important fluctuations are missed entirely in some years, the GAM estimates and uncertainty propagation could become dubious in interpretation and usefulness. Second, estimation of GAMs for very long series can be computationally demanding. When this is an obstacle, one could do the first two analysis stages using temporal windows of the full data, with the only implication being that different degrees of smoothness may be estimated for different windows, which indeed might be justified by the data. Third, meta-analysis regression results for a very small number of years, particularly confidence intervals and associated p-values, may be inaccurate (e.g. in confidence interval coverage). In such cases, one could make alternative use of the GAM seasonal averages and standard errors, such as for pairwise comparisons among years.</w:t>
      </w:r>
    </w:p>
    <w:bookmarkStart w:id="42" w:name="future-work"/>
    <w:p>
      <w:pPr>
        <w:pStyle w:val="Heading2"/>
      </w:pPr>
      <w:r>
        <w:t xml:space="preserve">Future work</w:t>
      </w:r>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Cs/>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 when 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to explain trends in either the GAM stage or the meta-analysis stage of analysis. This information would have obvious implications for management decisions on factors that influence water quality changes, e.g., wastewater treatment upgrades, large-scale climatic factors, or flow regulation practices. Including alternative predictors in the GAMs</w:t>
      </w:r>
      <w:r>
        <w:t xml:space="preserve"> </w:t>
      </w:r>
      <w:r>
        <w:t xml:space="preserve">(</w:t>
      </w:r>
      <w:hyperlink w:anchor="ref-Wood02">
        <w:r>
          <w:rPr>
            <w:rStyle w:val="Hyperlink"/>
          </w:rPr>
          <w:t xml:space="preserve">Wood and Augustin, 2002</w:t>
        </w:r>
      </w:hyperlink>
      <w:r>
        <w:t xml:space="preserve">;</w:t>
      </w:r>
      <w:r>
        <w:t xml:space="preserve"> </w:t>
      </w:r>
      <w:hyperlink w:anchor="ref-Zuur09">
        <w:r>
          <w:rPr>
            <w:rStyle w:val="Hyperlink"/>
          </w:rPr>
          <w:t xml:space="preserve">Zuur et al., 2009</w:t>
        </w:r>
      </w:hyperlink>
      <w:r>
        <w:t xml:space="preserve">)</w:t>
      </w:r>
      <w:r>
        <w:t xml:space="preserve"> </w:t>
      </w:r>
      <w:r>
        <w:t xml:space="preserve">could reduce the uncertainties of its estimates and, if relevant, allow the influence of those variables to be removed. Including alternative predictors in the meta-analysis could help in explaining long-term trends of seasonal averages or other metrics obtained from the GAMs. Our goal here was to describe chl-a changes relative to time, so the single predictor in both modeling stages was time.</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w:t>
      </w:r>
      <w:hyperlink w:anchor="ref-Cloern07">
        <w:r>
          <w:rPr>
            <w:rStyle w:val="Hyperlink"/>
          </w:rPr>
          <w:t xml:space="preserve">Cloern et al., 2007</w:t>
        </w:r>
      </w:hyperlink>
      <w:r>
        <w:t xml:space="preserve">;</w:t>
      </w:r>
      <w:r>
        <w:t xml:space="preserve"> </w:t>
      </w:r>
      <w:hyperlink w:anchor="ref-Jassby02">
        <w:r>
          <w:rPr>
            <w:rStyle w:val="Hyperlink"/>
          </w:rPr>
          <w:t xml:space="preserve">Jassby et al., 2002</w:t>
        </w:r>
      </w:hyperlink>
      <w:r>
        <w:t xml:space="preserve">)</w:t>
      </w:r>
      <w:r>
        <w:t xml:space="preserve">. The open-source wqtrends R package</w:t>
      </w:r>
      <w:r>
        <w:t xml:space="preserve"> </w:t>
      </w:r>
      <w:r>
        <w:t xml:space="preserve">(</w:t>
      </w:r>
      <w:hyperlink w:anchor="ref-Beck21">
        <w:r>
          <w:rPr>
            <w:rStyle w:val="Hyperlink"/>
          </w:rPr>
          <w:t xml:space="preserve">Beck et al., 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bookmarkEnd w:id="42"/>
    <w:bookmarkEnd w:id="43"/>
    <w:bookmarkStart w:id="44" w:name="acknowledgments"/>
    <w:p>
      <w:pPr>
        <w:pStyle w:val="Heading1"/>
      </w:pPr>
      <w:r>
        <w:t xml:space="preserve">Acknowledgments</w:t>
      </w:r>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bookmarkEnd w:id="44"/>
    <w:bookmarkStart w:id="53" w:name="figures"/>
    <w:p>
      <w:pPr>
        <w:pStyle w:val="Heading1"/>
      </w:pPr>
      <w:r>
        <w:t xml:space="preserve">Figures</w:t>
      </w:r>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3458" cy="5958496"/>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3458" cy="5958496"/>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hyperlink w:anchor="ref-Schraga20">
        <w:r>
          <w:rPr>
            <w:rStyle w:val="Hyperlink"/>
          </w:rPr>
          <w:t xml:space="preserve">Schraga et al.</w:t>
        </w:r>
      </w:hyperlink>
      <w:r>
        <w:t xml:space="preserve"> </w:t>
      </w:r>
      <w:r>
        <w:t xml:space="preserve">(</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943600" cy="3241963"/>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943600" cy="515112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rPr>
            <m:sty m:val="p"/>
          </m:rP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943600" cy="4984954"/>
            <wp:effectExtent b="0" l="0" r="0" t="0"/>
            <wp:docPr descr="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w:t>
      </w:r>
    </w:p>
    <w:p>
      <w:pPr>
        <w:pStyle w:val="CaptionedFigure"/>
      </w:pPr>
      <w:r>
        <w:drawing>
          <wp:inline>
            <wp:extent cx="5943600" cy="475488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bookmarkEnd w:id="53"/>
    <w:bookmarkStart w:id="54" w:name="tables"/>
    <w:p>
      <w:pPr>
        <w:pStyle w:val="Heading1"/>
      </w:pPr>
      <w:r>
        <w:t xml:space="preserve">Tables</w:t>
      </w:r>
    </w:p>
    <w:p>
      <w:pPr>
        <w:pStyle w:val="TableCaption"/>
      </w:pPr>
      <w:r>
        <w:t xml:space="preserve">Table 1: Station locations, sample sizes (from 1991 to 2019), and summary values (median, minimum, maximum) for chl-a (</w:t>
      </w:r>
      <m:oMath>
        <m:r>
          <m:t>μ</m:t>
        </m:r>
      </m:oMath>
      <w:r>
        <w:t xml:space="preserve">g L</w:t>
      </w:r>
      <m:oMath>
        <m:sSup>
          <m:e>
            <m:r>
              <m:t>​</m:t>
            </m:r>
          </m:e>
          <m:sup>
            <m:r>
              <m:rPr>
                <m:sty m:val="p"/>
              </m:rPr>
              <m:t>−</m:t>
            </m:r>
            <m:r>
              <m:t>1</m:t>
            </m:r>
          </m:sup>
        </m:sSup>
      </m:oMath>
      <w:r>
        <w:t xml:space="preserve">). Stations are arranged from north to south.</w:t>
      </w:r>
    </w:p>
    <w:tbl>
      <w:tblPr>
        <w:tblStyle w:val="Table"/>
        <w:tblW w:type="pct" w:w="0.0"/>
        <w:tblLook w:firstRow="1" w:lastRow="0" w:firstColumn="0" w:lastColumn="0" w:noHBand="0" w:noVBand="0" w:val="0020"/>
        <w:tblCaption w:val="Table 1: Station locations, sample sizes (from 1991 to 2019), and summary values (median, minimum, maximum) for chl-a (\mug L^{-1}). Stations are arranged from north to south."/>
      </w:tblPr>
      <w:tblGrid/>
      <w:tr>
        <w:tc>
          <w:p>
            <w:pPr>
              <w:pStyle w:val="Compact"/>
              <w:jc w:val="right"/>
            </w:pPr>
            <w:r>
              <w:t xml:space="preserve">Station</w:t>
            </w:r>
          </w:p>
        </w:tc>
        <w:tc>
          <w:p>
            <w:pPr>
              <w:pStyle w:val="Compact"/>
              <w:jc w:val="right"/>
            </w:pPr>
            <w:r>
              <w:t xml:space="preserve">Latitude</w:t>
            </w:r>
          </w:p>
        </w:tc>
        <w:tc>
          <w:p>
            <w:pPr>
              <w:pStyle w:val="Compact"/>
              <w:jc w:val="right"/>
            </w:pPr>
            <w:r>
              <w:t xml:space="preserve">Longitude</w:t>
            </w:r>
          </w:p>
        </w:tc>
        <w:tc>
          <w:p>
            <w:pPr>
              <w:pStyle w:val="Compact"/>
              <w:jc w:val="right"/>
            </w:pPr>
            <w:r>
              <w:t xml:space="preserve">n</w:t>
            </w:r>
          </w:p>
        </w:tc>
        <w:tc>
          <w:p>
            <w:pPr>
              <w:pStyle w:val="Compact"/>
              <w:jc w:val="right"/>
            </w:pPr>
            <w:r>
              <w:t xml:space="preserve">Med.</w:t>
            </w:r>
          </w:p>
        </w:tc>
        <w:tc>
          <w:p>
            <w:pPr>
              <w:pStyle w:val="Compact"/>
              <w:jc w:val="right"/>
            </w:pPr>
            <w:r>
              <w:t xml:space="preserve">Min.</w:t>
            </w:r>
          </w:p>
        </w:tc>
        <w:tc>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lastRow="0" w:firstColumn="0" w:lastColumn="0" w:noHBand="0" w:noVBand="0" w:val="0020"/>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04"/>
        <w:gridCol w:w="1987"/>
        <w:gridCol w:w="5728"/>
      </w:tblGrid>
      <w:tr>
        <w:tc>
          <w:p>
            <w:pPr>
              <w:pStyle w:val="Compact"/>
              <w:jc w:val="left"/>
            </w:pPr>
            <w:r>
              <w:t xml:space="preserve">GAM</w:t>
            </w:r>
          </w:p>
        </w:tc>
        <w:tc>
          <w:p>
            <w:pPr>
              <w:pStyle w:val="Compact"/>
              <w:jc w:val="left"/>
            </w:pPr>
            <w:r>
              <w:t xml:space="preserve">Additive components</w:t>
            </w:r>
          </w:p>
        </w:tc>
        <w:tc>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f_1(cont_year)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eta_0cont_year + f_1(cont_year)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eta_0cont_year + f_1(cont_year) + f_2(doy)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eta_0cont_year + f_1(cont_year) + f_2(doy) + f_3(cont_year,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lastRow="0" w:firstColumn="0" w:lastColumn="0" w:noHBand="0" w:noVBand="0" w:val="0020"/>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c>
          <w:p>
            <w:pPr>
              <w:pStyle w:val="Compact"/>
              <w:jc w:val="left"/>
            </w:pPr>
            <w:r>
              <w:t xml:space="preserve">model</w:t>
            </w:r>
          </w:p>
        </w:tc>
        <w:tc>
          <w:p>
            <w:pPr>
              <w:pStyle w:val="Compact"/>
              <w:jc w:val="left"/>
            </w:pPr>
            <w:r>
              <w:t xml:space="preserve">AIC</w:t>
            </w:r>
          </w:p>
        </w:tc>
        <w:tc>
          <w:p>
            <w:pPr>
              <w:pStyle w:val="Compact"/>
              <w:jc w:val="left"/>
            </w:pPr>
            <w:r>
              <w:t xml:space="preserve">GCV</w:t>
            </w:r>
          </w:p>
        </w:tc>
        <w:tc>
          <w:p>
            <w:pPr>
              <w:pStyle w:val="Compact"/>
              <w:jc w:val="left"/>
            </w:pPr>
            <w:r>
              <w:t xml:space="preserve">R2</w:t>
            </w:r>
          </w:p>
        </w:tc>
        <w:tc>
          <w:p>
            <w:pPr>
              <w:pStyle w:val="Compact"/>
              <w:jc w:val="left"/>
            </w:pPr>
            <w:r>
              <w:t xml:space="preserve">smoother</w:t>
            </w:r>
          </w:p>
        </w:tc>
        <w:tc>
          <w:p>
            <w:pPr>
              <w:pStyle w:val="Compact"/>
              <w:jc w:val="right"/>
            </w:pPr>
            <w:r>
              <w:t xml:space="preserve">edf</w:t>
            </w:r>
          </w:p>
        </w:tc>
        <w:tc>
          <w:p>
            <w:pPr>
              <w:pStyle w:val="Compact"/>
              <w:jc w:val="right"/>
            </w:pPr>
            <w:r>
              <w:t xml:space="preserve">F</w:t>
            </w:r>
          </w:p>
        </w:tc>
        <w:tc>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lastRow="0" w:firstColumn="0" w:lastColumn="0" w:noHBand="0" w:noVBand="0" w:val="0020"/>
        <w:tblCaption w:val="Table 4: Model performance statistics for each station as Akaike Information Criterion scores (AIC), generalized cross-validation scores (GCV), and r-squared values."/>
      </w:tblPr>
      <w:tblGrid/>
      <w:tr>
        <w:tc>
          <w:p>
            <w:pPr>
              <w:pStyle w:val="Compact"/>
              <w:jc w:val="left"/>
            </w:pPr>
            <w:r>
              <w:t xml:space="preserve">station</w:t>
            </w:r>
          </w:p>
        </w:tc>
        <w:tc>
          <w:p>
            <w:pPr>
              <w:pStyle w:val="Compact"/>
              <w:jc w:val="right"/>
            </w:pPr>
            <w:r>
              <w:t xml:space="preserve">AIC</w:t>
            </w:r>
          </w:p>
        </w:tc>
        <w:tc>
          <w:p>
            <w:pPr>
              <w:pStyle w:val="Compact"/>
              <w:jc w:val="right"/>
            </w:pPr>
            <w:r>
              <w:t xml:space="preserve">GCV</w:t>
            </w:r>
          </w:p>
        </w:tc>
        <w:tc>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bookmarkEnd w:id="54"/>
    <w:bookmarkStart w:id="131" w:name="references"/>
    <w:p>
      <w:pPr>
        <w:pStyle w:val="Heading1"/>
      </w:pPr>
      <w:r>
        <w:t xml:space="preserve">References</w:t>
      </w:r>
    </w:p>
    <w:bookmarkStart w:id="130" w:name="refs"/>
    <w:bookmarkStart w:id="55" w:name="ref-Alpine88"/>
    <w:p>
      <w:pPr>
        <w:pStyle w:val="Bibliography"/>
      </w:pPr>
      <w:r>
        <w:t xml:space="preserve">Alpine, A.E., Cloern, J.E., 1988. Phytoplankton growth rates in a light-limited environment,</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44, 167–173.</w:t>
      </w:r>
    </w:p>
    <w:bookmarkEnd w:id="55"/>
    <w:bookmarkStart w:id="56" w:name="ref-Beck21"/>
    <w:p>
      <w:pPr>
        <w:pStyle w:val="Bibliography"/>
      </w:pPr>
      <w:r>
        <w:t xml:space="preserve">Beck, M.W., de Valpine, P., Murpy, R., Wren, I., Chelsky, A., Foley, M., Senn, D., 2021.</w:t>
      </w:r>
      <w:r>
        <w:t xml:space="preserve"> </w:t>
      </w:r>
      <w:r>
        <w:t xml:space="preserve">tbep-tech/wqtrends: v1.1.0 (Version v1.1.0). Zenodo. http://doi.org/10.5281/zenodo.4509638</w:t>
      </w:r>
      <w:r>
        <w:t xml:space="preserve">.</w:t>
      </w:r>
    </w:p>
    <w:bookmarkEnd w:id="56"/>
    <w:bookmarkStart w:id="58" w:name="ref-Beck15"/>
    <w:p>
      <w:pPr>
        <w:pStyle w:val="Bibliography"/>
      </w:pPr>
      <w:r>
        <w:t xml:space="preserve">Beck, M.W., Hagy, J.D., III, 2015. Adaptation of a weighted regression approach to evaluate water quality trends in an estuary. Environmental Modelling and Assessment 20, 637–655.</w:t>
      </w:r>
      <w:r>
        <w:t xml:space="preserve"> </w:t>
      </w:r>
      <w:hyperlink r:id="rId57">
        <w:r>
          <w:rPr>
            <w:rStyle w:val="Hyperlink"/>
          </w:rPr>
          <w:t xml:space="preserve">https://doi.org/10.1007/s10666-015-9452-8</w:t>
        </w:r>
      </w:hyperlink>
    </w:p>
    <w:bookmarkEnd w:id="58"/>
    <w:bookmarkStart w:id="60" w:name="ref-Beck18b"/>
    <w:p>
      <w:pPr>
        <w:pStyle w:val="Bibliography"/>
      </w:pPr>
      <w:r>
        <w:t xml:space="preserve">Beck, M.W., Jabusch, T.W., Trowbridge, P.R., Senn, D.B., 2018. Four decades of water quality change in the upper</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212, 11–22.</w:t>
      </w:r>
      <w:r>
        <w:t xml:space="preserve"> </w:t>
      </w:r>
      <w:hyperlink r:id="rId59">
        <w:r>
          <w:rPr>
            <w:rStyle w:val="Hyperlink"/>
          </w:rPr>
          <w:t xml:space="preserve">https://doi.org/10.1016/j.ecss.2018.06.021</w:t>
        </w:r>
      </w:hyperlink>
    </w:p>
    <w:bookmarkEnd w:id="60"/>
    <w:bookmarkStart w:id="62" w:name="ref-Beck17"/>
    <w:p>
      <w:pPr>
        <w:pStyle w:val="Bibliography"/>
      </w:pPr>
      <w:r>
        <w:t xml:space="preserve">Beck, M.W., Murphy, R.R., 2017. Numerical and qualitative contrasts of two statistical models for water quality change in tidal waters. Journal of the American Water Resources Association 53, 197–219.</w:t>
      </w:r>
      <w:r>
        <w:t xml:space="preserve"> </w:t>
      </w:r>
      <w:hyperlink r:id="rId61">
        <w:r>
          <w:rPr>
            <w:rStyle w:val="Hyperlink"/>
          </w:rPr>
          <w:t xml:space="preserve">https://doi.org/10.1111/1752-1688.12489</w:t>
        </w:r>
      </w:hyperlink>
    </w:p>
    <w:bookmarkEnd w:id="62"/>
    <w:bookmarkStart w:id="63" w:name="ref-Cleveland90"/>
    <w:p>
      <w:pPr>
        <w:pStyle w:val="Bibliography"/>
      </w:pPr>
      <w:r>
        <w:t xml:space="preserve">Cleveland, R.B., Cleveland, W.S., McRae, J.E., Terpenning, I., 1990.</w:t>
      </w:r>
      <w:r>
        <w:t xml:space="preserve"> </w:t>
      </w:r>
      <w:r>
        <w:t xml:space="preserve">STL</w:t>
      </w:r>
      <w:r>
        <w:t xml:space="preserve">: A seasonal-trend decomposition procedure based on</w:t>
      </w:r>
      <w:r>
        <w:t xml:space="preserve"> </w:t>
      </w:r>
      <w:r>
        <w:t xml:space="preserve">L</w:t>
      </w:r>
      <w:r>
        <w:t xml:space="preserve">oess. Journal of Official Statistics 6, 3–73.</w:t>
      </w:r>
    </w:p>
    <w:bookmarkEnd w:id="63"/>
    <w:bookmarkStart w:id="65" w:name="ref-Cloern12"/>
    <w:p>
      <w:pPr>
        <w:pStyle w:val="Bibliography"/>
      </w:pPr>
      <w:r>
        <w:t xml:space="preserve">Cloern, J.E., Jassby, A.D., 2012. Drivers of change in estuarine-coastal ecosystems: Discoveries from four decades of study in</w:t>
      </w:r>
      <w:r>
        <w:t xml:space="preserve"> </w:t>
      </w:r>
      <w:r>
        <w:t xml:space="preserve">S</w:t>
      </w:r>
      <w:r>
        <w:t xml:space="preserve">an</w:t>
      </w:r>
      <w:r>
        <w:t xml:space="preserve"> </w:t>
      </w:r>
      <w:r>
        <w:t xml:space="preserve">F</w:t>
      </w:r>
      <w:r>
        <w:t xml:space="preserve">rancisco</w:t>
      </w:r>
      <w:r>
        <w:t xml:space="preserve"> </w:t>
      </w:r>
      <w:r>
        <w:t xml:space="preserve">B</w:t>
      </w:r>
      <w:r>
        <w:t xml:space="preserve">ay. Reviews of Geophysics 50.</w:t>
      </w:r>
      <w:r>
        <w:t xml:space="preserve"> </w:t>
      </w:r>
      <w:hyperlink r:id="rId64">
        <w:r>
          <w:rPr>
            <w:rStyle w:val="Hyperlink"/>
          </w:rPr>
          <w:t xml:space="preserve">https://doi.org/10.1029/2012RG000397</w:t>
        </w:r>
      </w:hyperlink>
    </w:p>
    <w:bookmarkEnd w:id="65"/>
    <w:bookmarkStart w:id="66" w:name="ref-Cloern10"/>
    <w:p>
      <w:pPr>
        <w:pStyle w:val="Bibliography"/>
      </w:pPr>
      <w:r>
        <w:t xml:space="preserve">Cloern, J.E., Jassby, A.D., 2010. Patterns and scales of phytoplankton variability in estuarine-coastal ecosystems. Estuaries and Coasts 33, 230–241.</w:t>
      </w:r>
    </w:p>
    <w:bookmarkEnd w:id="66"/>
    <w:bookmarkStart w:id="67" w:name="ref-Cloern07"/>
    <w:p>
      <w:pPr>
        <w:pStyle w:val="Bibliography"/>
      </w:pPr>
      <w:r>
        <w:t xml:space="preserve">Cloern, J.E., Jassby, A.D., Thompson, J.K., Hieb, K.A., 2007. A cold phase of the</w:t>
      </w:r>
      <w:r>
        <w:t xml:space="preserve"> </w:t>
      </w:r>
      <w:r>
        <w:t xml:space="preserve">E</w:t>
      </w:r>
      <w:r>
        <w:t xml:space="preserve">ast</w:t>
      </w:r>
      <w:r>
        <w:t xml:space="preserve"> </w:t>
      </w:r>
      <w:r>
        <w:t xml:space="preserve">P</w:t>
      </w:r>
      <w:r>
        <w:t xml:space="preserve">acific triggers new phytoplankton blooms in</w:t>
      </w:r>
      <w:r>
        <w:t xml:space="preserve"> </w:t>
      </w:r>
      <w:r>
        <w:t xml:space="preserve">S</w:t>
      </w:r>
      <w:r>
        <w:t xml:space="preserve">an</w:t>
      </w:r>
      <w:r>
        <w:t xml:space="preserve"> </w:t>
      </w:r>
      <w:r>
        <w:t xml:space="preserve">F</w:t>
      </w:r>
      <w:r>
        <w:t xml:space="preserve">rancisco</w:t>
      </w:r>
      <w:r>
        <w:t xml:space="preserve"> </w:t>
      </w:r>
      <w:r>
        <w:t xml:space="preserve">B</w:t>
      </w:r>
      <w:r>
        <w:t xml:space="preserve">ay. Proceedings of the National Academy of Sciences of the United States of America 104, 18561–18565.</w:t>
      </w:r>
    </w:p>
    <w:bookmarkEnd w:id="67"/>
    <w:bookmarkStart w:id="68" w:name="ref-Cloern16"/>
    <w:p>
      <w:pPr>
        <w:pStyle w:val="Bibliography"/>
      </w:pPr>
      <w:r>
        <w:t xml:space="preserve">Cloern, J.E., Schraga, T.S., 2016.</w:t>
      </w:r>
      <w:r>
        <w:t xml:space="preserve"> </w:t>
      </w:r>
      <w:r>
        <w:t xml:space="preserve">USGS measurements of water quality in San Francisco</w:t>
      </w:r>
      <w:r>
        <w:t xml:space="preserve"> </w:t>
      </w:r>
      <w:r>
        <w:t xml:space="preserve">B</w:t>
      </w:r>
      <w:r>
        <w:t xml:space="preserve">ay (CA), 1969-2015: U.S. Geological Survey data release. https://doi.org/10.5066/F7TQ5ZPR</w:t>
      </w:r>
      <w:r>
        <w:t xml:space="preserve">.</w:t>
      </w:r>
    </w:p>
    <w:bookmarkEnd w:id="68"/>
    <w:bookmarkStart w:id="70" w:name="ref-Cloern20"/>
    <w:p>
      <w:pPr>
        <w:pStyle w:val="Bibliography"/>
      </w:pPr>
      <w:r>
        <w:t xml:space="preserve">Cloern, J.E., Shcraga, T.S., Nejad, E., Martin, C., 2020. Nutrient status of</w:t>
      </w:r>
      <w:r>
        <w:t xml:space="preserve"> </w:t>
      </w:r>
      <w:r>
        <w:t xml:space="preserve">S</w:t>
      </w:r>
      <w:r>
        <w:t xml:space="preserve">an</w:t>
      </w:r>
      <w:r>
        <w:t xml:space="preserve"> </w:t>
      </w:r>
      <w:r>
        <w:t xml:space="preserve">F</w:t>
      </w:r>
      <w:r>
        <w:t xml:space="preserve">rancisco</w:t>
      </w:r>
      <w:r>
        <w:t xml:space="preserve"> </w:t>
      </w:r>
      <w:r>
        <w:t xml:space="preserve">B</w:t>
      </w:r>
      <w:r>
        <w:t xml:space="preserve">ay and its management implications. Estuaries &amp; Coasts 43, 1299–1317.</w:t>
      </w:r>
      <w:r>
        <w:t xml:space="preserve"> </w:t>
      </w:r>
      <w:hyperlink r:id="rId69">
        <w:r>
          <w:rPr>
            <w:rStyle w:val="Hyperlink"/>
          </w:rPr>
          <w:t xml:space="preserve">https://doi.org/10.1007/s12237-020-00737-w</w:t>
        </w:r>
      </w:hyperlink>
    </w:p>
    <w:bookmarkEnd w:id="70"/>
    <w:bookmarkStart w:id="71" w:name="ref-Cole84"/>
    <w:p>
      <w:pPr>
        <w:pStyle w:val="Bibliography"/>
      </w:pPr>
      <w:r>
        <w:t xml:space="preserve">Cole, B.E., Cloern, J.E., 1984. Significance of biomass and light availability to phytoplankton productivity in</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17, 15–24.</w:t>
      </w:r>
    </w:p>
    <w:bookmarkEnd w:id="71"/>
    <w:bookmarkStart w:id="72" w:name="ref-Cumming06"/>
    <w:p>
      <w:pPr>
        <w:pStyle w:val="Bibliography"/>
      </w:pPr>
      <w:r>
        <w:t xml:space="preserve">Cumming, G.S., Cumming, D.H.M., Redman, C.L., 2006. Scale mismatches in social-ecological systems: Causes, consequences, and solutions. Ecology and Society 11, 14.</w:t>
      </w:r>
    </w:p>
    <w:bookmarkEnd w:id="72"/>
    <w:bookmarkStart w:id="74" w:name="ref-Forbes18"/>
    <w:p>
      <w:pPr>
        <w:pStyle w:val="Bibliography"/>
      </w:pPr>
      <w:r>
        <w:t xml:space="preserve">Forbes, D.J., Xie, Z., 2018. Identifying process scales in the</w:t>
      </w:r>
      <w:r>
        <w:t xml:space="preserve"> </w:t>
      </w:r>
      <w:r>
        <w:t xml:space="preserve">I</w:t>
      </w:r>
      <w:r>
        <w:t xml:space="preserve">ndian</w:t>
      </w:r>
      <w:r>
        <w:t xml:space="preserve"> </w:t>
      </w:r>
      <w:r>
        <w:t xml:space="preserve">R</w:t>
      </w:r>
      <w:r>
        <w:t xml:space="preserve">iver</w:t>
      </w:r>
      <w:r>
        <w:t xml:space="preserve"> </w:t>
      </w:r>
      <w:r>
        <w:t xml:space="preserve">L</w:t>
      </w:r>
      <w:r>
        <w:t xml:space="preserve">agoon,</w:t>
      </w:r>
      <w:r>
        <w:t xml:space="preserve"> </w:t>
      </w:r>
      <w:r>
        <w:t xml:space="preserve">F</w:t>
      </w:r>
      <w:r>
        <w:t xml:space="preserve">lorida using wavelet transform analysis of dissolved oxygen. Ecological Complexity 36, 149–167.</w:t>
      </w:r>
      <w:r>
        <w:t xml:space="preserve"> </w:t>
      </w:r>
      <w:hyperlink r:id="rId73">
        <w:r>
          <w:rPr>
            <w:rStyle w:val="Hyperlink"/>
          </w:rPr>
          <w:t xml:space="preserve">https://doi.org/10.1016/j.ecocom.2018.07.005</w:t>
        </w:r>
      </w:hyperlink>
    </w:p>
    <w:bookmarkEnd w:id="74"/>
    <w:bookmarkStart w:id="76" w:name="ref-Gasparrini12"/>
    <w:p>
      <w:pPr>
        <w:pStyle w:val="Bibliography"/>
      </w:pPr>
      <w:r>
        <w:t xml:space="preserve">Gasparrini, A., Armstrong, B., Kenward, M.G., 2012. Multivariate meta-analysis for non-linear and other multi-parameter associations. Statistics in Medicine 31, 3821–3839.</w:t>
      </w:r>
      <w:r>
        <w:t xml:space="preserve"> </w:t>
      </w:r>
      <w:hyperlink r:id="rId75">
        <w:r>
          <w:rPr>
            <w:rStyle w:val="Hyperlink"/>
          </w:rPr>
          <w:t xml:space="preserve">https://doi.org/10.1002/sim.5471</w:t>
        </w:r>
      </w:hyperlink>
    </w:p>
    <w:bookmarkEnd w:id="76"/>
    <w:bookmarkStart w:id="77" w:name="ref-Hafen10"/>
    <w:p>
      <w:pPr>
        <w:pStyle w:val="Bibliography"/>
      </w:pPr>
      <w:r>
        <w:t xml:space="preserve">Hafen, R.P., 2010. Local regression models: Advancements, applications, and new methods (PhD thesis). Purdue University, West Lafayette, Indiana.</w:t>
      </w:r>
    </w:p>
    <w:bookmarkEnd w:id="77"/>
    <w:bookmarkStart w:id="78" w:name="ref-Haraguchi15"/>
    <w:p>
      <w:pPr>
        <w:pStyle w:val="Bibliography"/>
      </w:pPr>
      <w:r>
        <w:t xml:space="preserve">Haraguchi, L., Carstensen, J., Abreu, P.C., Odebrecht, C., 2015. Long-term changes of the phytoplankton community and biomass in the subtropical shallow</w:t>
      </w:r>
      <w:r>
        <w:t xml:space="preserve"> </w:t>
      </w:r>
      <w:r>
        <w:t xml:space="preserve">P</w:t>
      </w:r>
      <w:r>
        <w:t xml:space="preserve">atos</w:t>
      </w:r>
      <w:r>
        <w:t xml:space="preserve"> </w:t>
      </w:r>
      <w:r>
        <w:t xml:space="preserve">L</w:t>
      </w:r>
      <w:r>
        <w:t xml:space="preserve">agoon</w:t>
      </w:r>
      <w:r>
        <w:t xml:space="preserve"> </w:t>
      </w:r>
      <w:r>
        <w:t xml:space="preserve">E</w:t>
      </w:r>
      <w:r>
        <w:t xml:space="preserve">stuary,</w:t>
      </w:r>
      <w:r>
        <w:t xml:space="preserve"> </w:t>
      </w:r>
      <w:r>
        <w:t xml:space="preserve">B</w:t>
      </w:r>
      <w:r>
        <w:t xml:space="preserve">razil. Estuarine, Coastal and Shelf Science 162, 76–87.</w:t>
      </w:r>
    </w:p>
    <w:bookmarkEnd w:id="78"/>
    <w:bookmarkStart w:id="80" w:name="ref-He06"/>
    <w:p>
      <w:pPr>
        <w:pStyle w:val="Bibliography"/>
      </w:pPr>
      <w:r>
        <w:t xml:space="preserve">He, S., Mazumdar, S., Arena, V.C., 2006. A comparative study of the use of</w:t>
      </w:r>
      <w:r>
        <w:t xml:space="preserve"> </w:t>
      </w:r>
      <w:r>
        <w:t xml:space="preserve">GAM</w:t>
      </w:r>
      <w:r>
        <w:t xml:space="preserve"> </w:t>
      </w:r>
      <w:r>
        <w:t xml:space="preserve">and</w:t>
      </w:r>
      <w:r>
        <w:t xml:space="preserve"> </w:t>
      </w:r>
      <w:r>
        <w:t xml:space="preserve">GLM</w:t>
      </w:r>
      <w:r>
        <w:t xml:space="preserve"> </w:t>
      </w:r>
      <w:r>
        <w:t xml:space="preserve">in air pollution research. Environmetrics 17, 81–93.</w:t>
      </w:r>
      <w:r>
        <w:t xml:space="preserve"> </w:t>
      </w:r>
      <w:hyperlink r:id="rId79">
        <w:r>
          <w:rPr>
            <w:rStyle w:val="Hyperlink"/>
          </w:rPr>
          <w:t xml:space="preserve">https://doi.org/10.1002/env.751</w:t>
        </w:r>
      </w:hyperlink>
    </w:p>
    <w:bookmarkEnd w:id="80"/>
    <w:bookmarkStart w:id="81" w:name="ref-Helsel20"/>
    <w:p>
      <w:pPr>
        <w:pStyle w:val="Bibliography"/>
      </w:pPr>
      <w:r>
        <w:t xml:space="preserve">Helsel, D.R., Hirsch, R.M., Ryberg, K.R., Archfield, S.A., Gilroy, E.J., 2020. Statistical methods in water resources, 2nd ed.</w:t>
      </w:r>
      <w:r>
        <w:t xml:space="preserve"> </w:t>
      </w:r>
      <w:r>
        <w:t xml:space="preserve">U.S.</w:t>
      </w:r>
      <w:r>
        <w:t xml:space="preserve"> </w:t>
      </w:r>
      <w:r>
        <w:t xml:space="preserve">Geological Survey Techniques; Methods, book 4, chapter A3, version 1.1, Reston, Virginia.</w:t>
      </w:r>
    </w:p>
    <w:bookmarkEnd w:id="81"/>
    <w:bookmarkStart w:id="83" w:name="ref-Hirsch15"/>
    <w:p>
      <w:pPr>
        <w:pStyle w:val="Bibliography"/>
      </w:pPr>
      <w:r>
        <w:t xml:space="preserve">Hirsch, R.M., Archfield, S.A., De Cicco, L.A., 2015. A bootstrap method for estimating uncertainty of water quality trends. Environmental Modelling and Software 73, 148–166.</w:t>
      </w:r>
      <w:r>
        <w:t xml:space="preserve"> </w:t>
      </w:r>
      <w:hyperlink r:id="rId82">
        <w:r>
          <w:rPr>
            <w:rStyle w:val="Hyperlink"/>
          </w:rPr>
          <w:t xml:space="preserve">https://doi.org/10.1016/j.envsoft.2015.07.017</w:t>
        </w:r>
      </w:hyperlink>
    </w:p>
    <w:bookmarkEnd w:id="83"/>
    <w:bookmarkStart w:id="84" w:name="ref-Hirsch10"/>
    <w:p>
      <w:pPr>
        <w:pStyle w:val="Bibliography"/>
      </w:pPr>
      <w:r>
        <w:t xml:space="preserve">Hirsch, R.M., Moyer, D.L., Archfield, S.A., 2010. Weighted regressions on time, discharge, and season (</w:t>
      </w:r>
      <w:r>
        <w:t xml:space="preserve">WRTDS</w:t>
      </w:r>
      <w:r>
        <w:t xml:space="preserve">), with an application to</w:t>
      </w:r>
      <w:r>
        <w:t xml:space="preserve"> </w:t>
      </w:r>
      <w:r>
        <w:t xml:space="preserve">C</w:t>
      </w:r>
      <w:r>
        <w:t xml:space="preserve">hesapeake</w:t>
      </w:r>
      <w:r>
        <w:t xml:space="preserve"> </w:t>
      </w:r>
      <w:r>
        <w:t xml:space="preserve">B</w:t>
      </w:r>
      <w:r>
        <w:t xml:space="preserve">ay river inputs. Journal of the American Water Resources Association 46, 857–880.</w:t>
      </w:r>
    </w:p>
    <w:bookmarkEnd w:id="84"/>
    <w:bookmarkStart w:id="85" w:name="ref-Hirsch82"/>
    <w:p>
      <w:pPr>
        <w:pStyle w:val="Bibliography"/>
      </w:pPr>
      <w:r>
        <w:t xml:space="preserve">Hirsch, R.M., Slack, J.R., Smith, R.A., 1982. Techniques of trend analysis for monthly water quality data. Water Resources Research 18, 107–121.</w:t>
      </w:r>
    </w:p>
    <w:bookmarkEnd w:id="85"/>
    <w:bookmarkStart w:id="86" w:name="ref-Jassby08"/>
    <w:p>
      <w:pPr>
        <w:pStyle w:val="Bibliography"/>
      </w:pPr>
      <w:r>
        <w:t xml:space="preserve">Jassby, A.D., 2008. Phytoplankton in the</w:t>
      </w:r>
      <w:r>
        <w:t xml:space="preserve"> </w:t>
      </w:r>
      <w:r>
        <w:t xml:space="preserve">U</w:t>
      </w:r>
      <w:r>
        <w:t xml:space="preserve">pper</w:t>
      </w:r>
      <w:r>
        <w:t xml:space="preserve"> </w:t>
      </w:r>
      <w:r>
        <w:t xml:space="preserve">S</w:t>
      </w:r>
      <w:r>
        <w:t xml:space="preserve">an</w:t>
      </w:r>
      <w:r>
        <w:t xml:space="preserve"> </w:t>
      </w:r>
      <w:r>
        <w:t xml:space="preserve">F</w:t>
      </w:r>
      <w:r>
        <w:t xml:space="preserve">rancisco</w:t>
      </w:r>
      <w:r>
        <w:t xml:space="preserve"> </w:t>
      </w:r>
      <w:r>
        <w:t xml:space="preserve">E</w:t>
      </w:r>
      <w:r>
        <w:t xml:space="preserve">stuary: Recent biomass trends, their causes, and their trophic significance. San Francisco Estuary and Watershed Science 6, 1–24.</w:t>
      </w:r>
    </w:p>
    <w:bookmarkEnd w:id="86"/>
    <w:bookmarkStart w:id="87" w:name="ref-Jassby02"/>
    <w:p>
      <w:pPr>
        <w:pStyle w:val="Bibliography"/>
      </w:pPr>
      <w:r>
        <w:t xml:space="preserve">Jassby, A.D., Cloern, J.E., Cole, B.E., 2002. Annual primary production: Patterns and mechanisms of change in a nutrient-rich tidal ecosystem. Limnology and Oceanography 47, 698–712.</w:t>
      </w:r>
    </w:p>
    <w:bookmarkEnd w:id="87"/>
    <w:bookmarkStart w:id="89" w:name="ref-Junninen04"/>
    <w:p>
      <w:pPr>
        <w:pStyle w:val="Bibliography"/>
      </w:pPr>
      <w:r>
        <w:t xml:space="preserve">Junninen, H., Niska, H., Tuppurainen, K., Ruuskanen, J., Kolehmainen, M., 2004. Methods for imputation of missing values in air quality data sets. Atmospheric Environment 38, 2895–2907.</w:t>
      </w:r>
      <w:r>
        <w:t xml:space="preserve"> </w:t>
      </w:r>
      <w:hyperlink r:id="rId88">
        <w:r>
          <w:rPr>
            <w:rStyle w:val="Hyperlink"/>
          </w:rPr>
          <w:t xml:space="preserve">https://doi.org/10.1016/j.atmosenv.2004.02.026</w:t>
        </w:r>
      </w:hyperlink>
    </w:p>
    <w:bookmarkEnd w:id="89"/>
    <w:bookmarkStart w:id="90" w:name="ref-Kimmerer14"/>
    <w:p>
      <w:pPr>
        <w:pStyle w:val="Bibliography"/>
      </w:pPr>
      <w:r>
        <w:t xml:space="preserve">Kimmerer, W.J., Thompson, J.K., 2014. Phytoplankton growth balanced by clam and zooplankton grazing and net transport into the low-salinity zone of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Estuaries and Coasts 37, 1202–1218.</w:t>
      </w:r>
    </w:p>
    <w:bookmarkEnd w:id="90"/>
    <w:bookmarkStart w:id="92" w:name="ref-Lefcheck17"/>
    <w:p>
      <w:pPr>
        <w:pStyle w:val="Bibliography"/>
      </w:pPr>
      <w:r>
        <w:t xml:space="preserve">Lefcheck, J.S., Wilcox, D.J., Murphy, R.R., Marion, S.R., Orth, R.J., 2017. Multiple stressors threaten the imperiled coastal foundation species eelgrass (</w:t>
      </w:r>
      <w:r>
        <w:rPr>
          <w:iCs/>
          <w:i/>
        </w:rPr>
        <w:t xml:space="preserve">zostera marina</w:t>
      </w:r>
      <w:r>
        <w:t xml:space="preserve">) in</w:t>
      </w:r>
      <w:r>
        <w:t xml:space="preserve"> </w:t>
      </w:r>
      <w:r>
        <w:t xml:space="preserve">C</w:t>
      </w:r>
      <w:r>
        <w:t xml:space="preserve">hesapeake</w:t>
      </w:r>
      <w:r>
        <w:t xml:space="preserve"> </w:t>
      </w:r>
      <w:r>
        <w:t xml:space="preserve">B</w:t>
      </w:r>
      <w:r>
        <w:t xml:space="preserve">ay,</w:t>
      </w:r>
      <w:r>
        <w:t xml:space="preserve"> </w:t>
      </w:r>
      <w:r>
        <w:t xml:space="preserve">USA</w:t>
      </w:r>
      <w:r>
        <w:t xml:space="preserve">. Global Change Biology 23, 3474–3483.</w:t>
      </w:r>
      <w:r>
        <w:t xml:space="preserve"> </w:t>
      </w:r>
      <w:hyperlink r:id="rId91">
        <w:r>
          <w:rPr>
            <w:rStyle w:val="Hyperlink"/>
          </w:rPr>
          <w:t xml:space="preserve">https://doi.org/10.1111/gcb.13623</w:t>
        </w:r>
      </w:hyperlink>
    </w:p>
    <w:bookmarkEnd w:id="92"/>
    <w:bookmarkStart w:id="94" w:name="ref-Lehman17"/>
    <w:p>
      <w:pPr>
        <w:pStyle w:val="Bibliography"/>
      </w:pPr>
      <w:r>
        <w:t xml:space="preserve">Lehman, P.W., Kurobe, T., Lesmeister, S., Baxa, D., Tung, A., Teh, S.J., 2017. Impacts of the 2014 severe drought on the</w:t>
      </w:r>
      <w:r>
        <w:t xml:space="preserve"> </w:t>
      </w:r>
      <w:r>
        <w:t xml:space="preserve">M</w:t>
      </w:r>
      <w:r>
        <w:t xml:space="preserve">icrocystis bloom in</w:t>
      </w:r>
      <w:r>
        <w:t xml:space="preserve"> </w:t>
      </w:r>
      <w:r>
        <w:t xml:space="preserve">S</w:t>
      </w:r>
      <w:r>
        <w:t xml:space="preserve">an</w:t>
      </w:r>
      <w:r>
        <w:t xml:space="preserve"> </w:t>
      </w:r>
      <w:r>
        <w:t xml:space="preserve">F</w:t>
      </w:r>
      <w:r>
        <w:t xml:space="preserve">rancisco</w:t>
      </w:r>
      <w:r>
        <w:t xml:space="preserve"> </w:t>
      </w:r>
      <w:r>
        <w:t xml:space="preserve">E</w:t>
      </w:r>
      <w:r>
        <w:t xml:space="preserve">stuary. Harmful Algae 63, 94–108.</w:t>
      </w:r>
      <w:r>
        <w:t xml:space="preserve"> </w:t>
      </w:r>
      <w:hyperlink r:id="rId93">
        <w:r>
          <w:rPr>
            <w:rStyle w:val="Hyperlink"/>
          </w:rPr>
          <w:t xml:space="preserve">https://doi.org/10.1016/j.hal.2017.01.011</w:t>
        </w:r>
      </w:hyperlink>
    </w:p>
    <w:bookmarkEnd w:id="94"/>
    <w:bookmarkStart w:id="96" w:name="ref-Lortie14"/>
    <w:p>
      <w:pPr>
        <w:pStyle w:val="Bibliography"/>
      </w:pPr>
      <w:r>
        <w:t xml:space="preserve">Lortie, C.J., 2014. Formalized synthesis opportunities for ecology: Systematic reviews and meta-analyses. OIKOS 123, 897–902.</w:t>
      </w:r>
      <w:r>
        <w:t xml:space="preserve"> </w:t>
      </w:r>
      <w:hyperlink r:id="rId95">
        <w:r>
          <w:rPr>
            <w:rStyle w:val="Hyperlink"/>
          </w:rPr>
          <w:t xml:space="preserve">https://doi.org/10.1111/j.1600-0706.2013.00970.x</w:t>
        </w:r>
      </w:hyperlink>
    </w:p>
    <w:bookmarkEnd w:id="96"/>
    <w:bookmarkStart w:id="98" w:name="ref-Morton08"/>
    <w:p>
      <w:pPr>
        <w:pStyle w:val="Bibliography"/>
      </w:pPr>
      <w:r>
        <w:t xml:space="preserve">Morton, R., Henderson, B.L., 2008. Estimation of nonlinear trends in water quality: An improved approach using generalized additive models. Water Resources Research 44, W07420.</w:t>
      </w:r>
      <w:r>
        <w:t xml:space="preserve"> </w:t>
      </w:r>
      <w:hyperlink r:id="rId97">
        <w:r>
          <w:rPr>
            <w:rStyle w:val="Hyperlink"/>
          </w:rPr>
          <w:t xml:space="preserve">https://doi.org/10.1029/2007WR006191</w:t>
        </w:r>
      </w:hyperlink>
    </w:p>
    <w:bookmarkEnd w:id="98"/>
    <w:bookmarkStart w:id="10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99">
        <w:r>
          <w:rPr>
            <w:rStyle w:val="Hyperlink"/>
          </w:rPr>
          <w:t xml:space="preserve">https://doi.org/10.1016/j.envsoft.2019.03.027</w:t>
        </w:r>
      </w:hyperlink>
    </w:p>
    <w:bookmarkEnd w:id="100"/>
    <w:bookmarkStart w:id="102" w:name="ref-Navarro12"/>
    <w:p>
      <w:pPr>
        <w:pStyle w:val="Bibliography"/>
      </w:pPr>
      <w:r>
        <w:t xml:space="preserve">Navarro, G., Caballero, I., Prieto, L., Vázquez, A., Flecha, S., Huertas, I.E., Ruiz, J., 2012. Seasonal-to-interannual variability of chlorophyll-</w:t>
      </w:r>
      <w:r>
        <w:rPr>
          <w:iCs/>
          <w:i/>
        </w:rPr>
        <w:t xml:space="preserve">a</w:t>
      </w:r>
      <w:r>
        <w:t xml:space="preserve"> </w:t>
      </w:r>
      <w:r>
        <w:t xml:space="preserve">bloom timing associated with physical forcing in the</w:t>
      </w:r>
      <w:r>
        <w:t xml:space="preserve"> </w:t>
      </w:r>
      <w:r>
        <w:t xml:space="preserve">G</w:t>
      </w:r>
      <w:r>
        <w:t xml:space="preserve">ulf of</w:t>
      </w:r>
      <w:r>
        <w:t xml:space="preserve"> </w:t>
      </w:r>
      <w:r>
        <w:t xml:space="preserve">C</w:t>
      </w:r>
      <w:r>
        <w:t xml:space="preserve">ádiz. Advances in Space Research 50, 1164–1172.</w:t>
      </w:r>
      <w:r>
        <w:t xml:space="preserve"> </w:t>
      </w:r>
      <w:hyperlink r:id="rId101">
        <w:r>
          <w:rPr>
            <w:rStyle w:val="Hyperlink"/>
          </w:rPr>
          <w:t xml:space="preserve">https://doi.org/10.1016/j.asr.2011.11.034</w:t>
        </w:r>
      </w:hyperlink>
    </w:p>
    <w:bookmarkEnd w:id="102"/>
    <w:bookmarkStart w:id="103" w:name="ref-Novick14"/>
    <w:p>
      <w:pPr>
        <w:pStyle w:val="Bibliography"/>
      </w:pPr>
      <w:r>
        <w:t xml:space="preserve">Novick, E., Senn, D., 2014. External nutrient loads to</w:t>
      </w:r>
      <w:r>
        <w:t xml:space="preserve"> </w:t>
      </w:r>
      <w:r>
        <w:t xml:space="preserve">S</w:t>
      </w:r>
      <w:r>
        <w:t xml:space="preserve">an</w:t>
      </w:r>
      <w:r>
        <w:t xml:space="preserve"> </w:t>
      </w:r>
      <w:r>
        <w:t xml:space="preserve">F</w:t>
      </w:r>
      <w:r>
        <w:t xml:space="preserve">rancisco</w:t>
      </w:r>
      <w:r>
        <w:t xml:space="preserve"> </w:t>
      </w:r>
      <w:r>
        <w:t xml:space="preserve">B</w:t>
      </w:r>
      <w:r>
        <w:t xml:space="preserve">ay (No. Contribution Number 704). San Francisco Estuary Institute, Richmond, CA.</w:t>
      </w:r>
    </w:p>
    <w:bookmarkEnd w:id="103"/>
    <w:bookmarkStart w:id="105" w:name="ref-Pearce11"/>
    <w:p>
      <w:pPr>
        <w:pStyle w:val="Bibliography"/>
      </w:pPr>
      <w:r>
        <w:t xml:space="preserve">Pearce, J.L., Beringer, J., Nicholls, N., Hyndman, R.J., Tapper, N.J., 2011. Quantifying the influence of local meteorology on air quality using generalized additive models. Atmospheric Environment 45, 1328–1336.</w:t>
      </w:r>
      <w:r>
        <w:t xml:space="preserve"> </w:t>
      </w:r>
      <w:hyperlink r:id="rId104">
        <w:r>
          <w:rPr>
            <w:rStyle w:val="Hyperlink"/>
          </w:rPr>
          <w:t xml:space="preserve">https://doi.org/10.1016/j.atmosenv.2010.11.051</w:t>
        </w:r>
      </w:hyperlink>
    </w:p>
    <w:bookmarkEnd w:id="105"/>
    <w:bookmarkStart w:id="106" w:name="ref-RCT20"/>
    <w:p>
      <w:pPr>
        <w:pStyle w:val="Bibliography"/>
      </w:pPr>
      <w:r>
        <w:t xml:space="preserve">R Core Team, 2020. R: A language and environment for statistical computing. R Foundation for Statistical Computing, R v4.0.2, Vienna, Austria.</w:t>
      </w:r>
    </w:p>
    <w:bookmarkEnd w:id="106"/>
    <w:bookmarkStart w:id="108" w:name="ref-Racault14"/>
    <w:p>
      <w:pPr>
        <w:pStyle w:val="Bibliography"/>
      </w:pPr>
      <w:r>
        <w:t xml:space="preserve">Racault, M.F., Sathyendranath, S., Platt, T., 2014. Impact of missing data on the estimation of ecological indicators from satellite ocean-colour time series. Remote Sensing of Environment 152, 15–28.</w:t>
      </w:r>
      <w:r>
        <w:t xml:space="preserve"> </w:t>
      </w:r>
      <w:hyperlink r:id="rId107">
        <w:r>
          <w:rPr>
            <w:rStyle w:val="Hyperlink"/>
          </w:rPr>
          <w:t xml:space="preserve">https://doi.org/10.1016/j.rse.2014.05.016</w:t>
        </w:r>
      </w:hyperlink>
    </w:p>
    <w:bookmarkEnd w:id="108"/>
    <w:bookmarkStart w:id="109" w:name="ref-Schraga20"/>
    <w:p>
      <w:pPr>
        <w:pStyle w:val="Bibliography"/>
      </w:pPr>
      <w:r>
        <w:t xml:space="preserve">Schraga, T.S., Nejad, E.S., Martin, C.A., Cloern, J.E., 2020.</w:t>
      </w:r>
      <w:r>
        <w:t xml:space="preserve"> </w:t>
      </w:r>
      <w:r>
        <w:t xml:space="preserve">USGS measurements of water quality in San Francisco (CA), beginning in 2016 (ver. 3.0, March 2020): U.S. Geological Survey data release. https://doi.org/10.5066/F7D21WGF</w:t>
      </w:r>
      <w:r>
        <w:t xml:space="preserve">.</w:t>
      </w:r>
    </w:p>
    <w:bookmarkEnd w:id="109"/>
    <w:bookmarkStart w:id="111" w:name="ref-Sera19"/>
    <w:p>
      <w:pPr>
        <w:pStyle w:val="Bibliography"/>
      </w:pPr>
      <w:r>
        <w:t xml:space="preserve">Sera, F., Armstrong, B., Blangiardo, M., Gasparrini, A., 2019. An extended mixed-effects framework for meta-analysis. Statistics in Medicine 38, 5429–5444.</w:t>
      </w:r>
      <w:r>
        <w:t xml:space="preserve"> </w:t>
      </w:r>
      <w:hyperlink r:id="rId110">
        <w:r>
          <w:rPr>
            <w:rStyle w:val="Hyperlink"/>
          </w:rPr>
          <w:t xml:space="preserve">https://doi.org/10.1002/sim.8362</w:t>
        </w:r>
      </w:hyperlink>
    </w:p>
    <w:bookmarkEnd w:id="111"/>
    <w:bookmarkStart w:id="113" w:name="ref-Shabman03"/>
    <w:p>
      <w:pPr>
        <w:pStyle w:val="Bibliography"/>
      </w:pPr>
      <w:r>
        <w:t xml:space="preserve">Shabman, L., Smith, E., 2003. Implications of applying statistically based procedures for water quality assessment. Journal of Water Resources Planning and Management 129, 330–336.</w:t>
      </w:r>
      <w:r>
        <w:t xml:space="preserve"> </w:t>
      </w:r>
      <w:hyperlink r:id="rId112">
        <w:r>
          <w:rPr>
            <w:rStyle w:val="Hyperlink"/>
          </w:rPr>
          <w:t xml:space="preserve">https://doi.org/10.1061/(ASCE)0733-9496(2003)129:4(330)</w:t>
        </w:r>
      </w:hyperlink>
    </w:p>
    <w:bookmarkEnd w:id="113"/>
    <w:bookmarkStart w:id="115" w:name="ref-Smith01"/>
    <w:p>
      <w:pPr>
        <w:pStyle w:val="Bibliography"/>
      </w:pPr>
      <w:r>
        <w:t xml:space="preserve">Smith, E.P., Ye, K., Hughes, C., Shabman, L., 2001. Statistical assessment of violations of water quality standards under section 303 (d) of the</w:t>
      </w:r>
      <w:r>
        <w:t xml:space="preserve"> </w:t>
      </w:r>
      <w:r>
        <w:t xml:space="preserve">C</w:t>
      </w:r>
      <w:r>
        <w:t xml:space="preserve">lean</w:t>
      </w:r>
      <w:r>
        <w:t xml:space="preserve"> </w:t>
      </w:r>
      <w:r>
        <w:t xml:space="preserve">W</w:t>
      </w:r>
      <w:r>
        <w:t xml:space="preserve">ater</w:t>
      </w:r>
      <w:r>
        <w:t xml:space="preserve"> </w:t>
      </w:r>
      <w:r>
        <w:t xml:space="preserve">A</w:t>
      </w:r>
      <w:r>
        <w:t xml:space="preserve">ct. Environmental science &amp; technology 35, 606–612.</w:t>
      </w:r>
      <w:r>
        <w:t xml:space="preserve"> </w:t>
      </w:r>
      <w:hyperlink r:id="rId114">
        <w:r>
          <w:rPr>
            <w:rStyle w:val="Hyperlink"/>
          </w:rPr>
          <w:t xml:space="preserve">https://doi.org/10.1021/es001159e</w:t>
        </w:r>
      </w:hyperlink>
    </w:p>
    <w:bookmarkEnd w:id="115"/>
    <w:bookmarkStart w:id="117" w:name="ref-Stow15"/>
    <w:p>
      <w:pPr>
        <w:pStyle w:val="Bibliography"/>
      </w:pPr>
      <w:r>
        <w:t xml:space="preserve">Stow, C.A., Cha, Y., Johnson, L.T., Confesor, R., Richards, R.P., 2015. Long-term and seasonal trend decomposition of</w:t>
      </w:r>
      <w:r>
        <w:t xml:space="preserve"> </w:t>
      </w:r>
      <w:r>
        <w:t xml:space="preserve">M</w:t>
      </w:r>
      <w:r>
        <w:t xml:space="preserve">aumee</w:t>
      </w:r>
      <w:r>
        <w:t xml:space="preserve"> </w:t>
      </w:r>
      <w:r>
        <w:t xml:space="preserve">R</w:t>
      </w:r>
      <w:r>
        <w:t xml:space="preserve">iver nutrient inputs to western</w:t>
      </w:r>
      <w:r>
        <w:t xml:space="preserve"> </w:t>
      </w:r>
      <w:r>
        <w:t xml:space="preserve">L</w:t>
      </w:r>
      <w:r>
        <w:t xml:space="preserve">ake</w:t>
      </w:r>
      <w:r>
        <w:t xml:space="preserve"> </w:t>
      </w:r>
      <w:r>
        <w:t xml:space="preserve">E</w:t>
      </w:r>
      <w:r>
        <w:t xml:space="preserve">rie. Environmental Science and Technology 49, 3392–3400.</w:t>
      </w:r>
      <w:r>
        <w:t xml:space="preserve"> </w:t>
      </w:r>
      <w:hyperlink r:id="rId116">
        <w:r>
          <w:rPr>
            <w:rStyle w:val="Hyperlink"/>
          </w:rPr>
          <w:t xml:space="preserve">https://doi.org/10.1021/es5062648</w:t>
        </w:r>
      </w:hyperlink>
    </w:p>
    <w:bookmarkEnd w:id="117"/>
    <w:bookmarkStart w:id="119" w:name="ref-Urquhart98"/>
    <w:p>
      <w:pPr>
        <w:pStyle w:val="Bibliography"/>
      </w:pPr>
      <w:r>
        <w:t xml:space="preserve">Urquhart, N.S., Paulsen, S.G., Larsen, D.P., 1998. Monitoring for policy-relevant regional trends over time. Ecological Applications 8, 246–257.</w:t>
      </w:r>
      <w:r>
        <w:t xml:space="preserve"> </w:t>
      </w:r>
      <w:hyperlink r:id="rId118">
        <w:r>
          <w:rPr>
            <w:rStyle w:val="Hyperlink"/>
          </w:rPr>
          <w:t xml:space="preserve">https://doi.org/10.1890/1051-0761(1998)008[0246:MFPRRO]2.0.CO;2</w:t>
        </w:r>
      </w:hyperlink>
    </w:p>
    <w:bookmarkEnd w:id="119"/>
    <w:bookmarkStart w:id="120" w:name="ref-Wan17"/>
    <w:p>
      <w:pPr>
        <w:pStyle w:val="Bibliography"/>
      </w:pPr>
      <w:r>
        <w:t xml:space="preserve">Wan, Y., Wan, L., Li, Y., Doering, P., 2017. Decadal and seasonal trends of nutrient concentration and export from highly managed coastal catchments. Water Research 115, 180–194.</w:t>
      </w:r>
    </w:p>
    <w:bookmarkEnd w:id="120"/>
    <w:bookmarkStart w:id="121" w:name="ref-Wood17"/>
    <w:p>
      <w:pPr>
        <w:pStyle w:val="Bibliography"/>
      </w:pPr>
      <w:r>
        <w:t xml:space="preserve">Wood, S.N., 2017. Generalized additive models: An introduction with r, 2nd ed. Chapman; Hall, CRC Press, London, United Kingdom.</w:t>
      </w:r>
    </w:p>
    <w:bookmarkEnd w:id="121"/>
    <w:bookmarkStart w:id="123" w:name="ref-Wood04"/>
    <w:p>
      <w:pPr>
        <w:pStyle w:val="Bibliography"/>
      </w:pPr>
      <w:r>
        <w:t xml:space="preserve">Wood, S.N., 2004. Stable and efficient multiple smoothing parameter estimation for generalized additive models. Journal of the American Statistical Association 99, 673–686.</w:t>
      </w:r>
      <w:r>
        <w:t xml:space="preserve"> </w:t>
      </w:r>
      <w:hyperlink r:id="rId122">
        <w:r>
          <w:rPr>
            <w:rStyle w:val="Hyperlink"/>
          </w:rPr>
          <w:t xml:space="preserve">https://doi.org/10.1198/016214504000000980</w:t>
        </w:r>
      </w:hyperlink>
    </w:p>
    <w:bookmarkEnd w:id="123"/>
    <w:bookmarkStart w:id="125" w:name="ref-Wood03"/>
    <w:p>
      <w:pPr>
        <w:pStyle w:val="Bibliography"/>
      </w:pPr>
      <w:r>
        <w:t xml:space="preserve">Wood, S.N., 2003. Thin-plate regression splines. Journal of the Royal Statistical Society (B) 65, 95–114.</w:t>
      </w:r>
      <w:r>
        <w:t xml:space="preserve"> </w:t>
      </w:r>
      <w:hyperlink r:id="rId124">
        <w:r>
          <w:rPr>
            <w:rStyle w:val="Hyperlink"/>
          </w:rPr>
          <w:t xml:space="preserve">https://doi.org/10.1111/1467-9868.00374</w:t>
        </w:r>
      </w:hyperlink>
    </w:p>
    <w:bookmarkEnd w:id="125"/>
    <w:bookmarkStart w:id="127" w:name="ref-Wood02"/>
    <w:p>
      <w:pPr>
        <w:pStyle w:val="Bibliography"/>
      </w:pPr>
      <w:r>
        <w:t xml:space="preserve">Wood, S.N., Augustin, N.H., 2002.</w:t>
      </w:r>
      <w:r>
        <w:t xml:space="preserve"> </w:t>
      </w:r>
      <w:r>
        <w:t xml:space="preserve">GAM</w:t>
      </w:r>
      <w:r>
        <w:t xml:space="preserve">s with integrated model selection using penalized regression splines and applications to environmental modelling. Ecological Modelling 157, 157–177.</w:t>
      </w:r>
      <w:r>
        <w:t xml:space="preserve"> </w:t>
      </w:r>
      <w:hyperlink r:id="rId126">
        <w:r>
          <w:rPr>
            <w:rStyle w:val="Hyperlink"/>
          </w:rPr>
          <w:t xml:space="preserve">https://doi.org/10.1016/S0304-3800(02)00193-X</w:t>
        </w:r>
      </w:hyperlink>
    </w:p>
    <w:bookmarkEnd w:id="127"/>
    <w:bookmarkStart w:id="128" w:name="ref-Yang20"/>
    <w:p>
      <w:pPr>
        <w:pStyle w:val="Bibliography"/>
      </w:pPr>
      <w:r>
        <w:t xml:space="preserve">Yang, G., Moyer, D.L., 2020. Estimation of nonlinear water-quality trends in high-frequency monitoring data. Science of The Total Environment 715, 10.1016/j.scitotenv.2020.136686.</w:t>
      </w:r>
    </w:p>
    <w:bookmarkEnd w:id="128"/>
    <w:bookmarkStart w:id="129" w:name="ref-Zuur09"/>
    <w:p>
      <w:pPr>
        <w:pStyle w:val="Bibliography"/>
      </w:pPr>
      <w:r>
        <w:t xml:space="preserve">Zuur, A.F., Ieno, E.N., Walker, N.J., Saveliev, A.A., Smith, G.M., 2009. Mixed effects models and extensions in ecology with r. Springer-Verlag, New York, New York.</w:t>
      </w:r>
    </w:p>
    <w:bookmarkEnd w:id="129"/>
    <w:bookmarkEnd w:id="130"/>
    <w:bookmarkEnd w:id="13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10"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6" Target="https://doi.org/10.1016/S0304-3800(02)00193-X" TargetMode="External" /><Relationship Type="http://schemas.openxmlformats.org/officeDocument/2006/relationships/hyperlink" Id="rId101"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4"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9"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4" Target="https://doi.org/10.1021/es001159e" TargetMode="External" /><Relationship Type="http://schemas.openxmlformats.org/officeDocument/2006/relationships/hyperlink" Id="rId116" Target="https://doi.org/10.1021/es5062648" TargetMode="External" /><Relationship Type="http://schemas.openxmlformats.org/officeDocument/2006/relationships/hyperlink" Id="rId97"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2" Target="https://doi.org/10.1061/(ASCE)0733-9496(2003)129:4(330)" TargetMode="External" /><Relationship Type="http://schemas.openxmlformats.org/officeDocument/2006/relationships/hyperlink" Id="rId124"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95" Target="https://doi.org/10.1111/j.1600-0706.2013.00970.x" TargetMode="External" /><Relationship Type="http://schemas.openxmlformats.org/officeDocument/2006/relationships/hyperlink" Id="rId122" Target="https://doi.org/10.1198/016214504000000980" TargetMode="External" /><Relationship Type="http://schemas.openxmlformats.org/officeDocument/2006/relationships/hyperlink" Id="rId118"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10"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6" Target="https://doi.org/10.1016/S0304-3800(02)00193-X" TargetMode="External" /><Relationship Type="http://schemas.openxmlformats.org/officeDocument/2006/relationships/hyperlink" Id="rId101"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4"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9"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4" Target="https://doi.org/10.1021/es001159e" TargetMode="External" /><Relationship Type="http://schemas.openxmlformats.org/officeDocument/2006/relationships/hyperlink" Id="rId116" Target="https://doi.org/10.1021/es5062648" TargetMode="External" /><Relationship Type="http://schemas.openxmlformats.org/officeDocument/2006/relationships/hyperlink" Id="rId97"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2" Target="https://doi.org/10.1061/(ASCE)0733-9496(2003)129:4(330)" TargetMode="External" /><Relationship Type="http://schemas.openxmlformats.org/officeDocument/2006/relationships/hyperlink" Id="rId124"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95" Target="https://doi.org/10.1111/j.1600-0706.2013.00970.x" TargetMode="External" /><Relationship Type="http://schemas.openxmlformats.org/officeDocument/2006/relationships/hyperlink" Id="rId122" Target="https://doi.org/10.1198/016214504000000980" TargetMode="External" /><Relationship Type="http://schemas.openxmlformats.org/officeDocument/2006/relationships/hyperlink" Id="rId118"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2021-07-06T21:35:25Z</dcterms:created>
  <dcterms:modified xsi:type="dcterms:W3CDTF">2021-07-06T21:35:25Z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science-of-the-total-environment.csl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